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504BB0E" w:rsidR="00E61E41" w:rsidRPr="00EC398E" w:rsidRDefault="005C0D1B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BD109D" w:rsidRPr="00EC398E">
              <w:rPr>
                <w:i/>
                <w:sz w:val="20"/>
                <w:szCs w:val="20"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55AA0037" w:rsidR="00E61E41" w:rsidRPr="00EC398E" w:rsidRDefault="00687FB5" w:rsidP="005D6689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EC398E">
              <w:rPr>
                <w:i/>
                <w:sz w:val="20"/>
                <w:szCs w:val="20"/>
              </w:rPr>
              <w:t>Deck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655ED75" w:rsidR="00E61E41" w:rsidRPr="00EC398E" w:rsidRDefault="00687FB5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EC398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Los- und Festmachen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FF04B4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FF04B4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5CB48DF" w:rsidR="003E225B" w:rsidRPr="00A936E4" w:rsidRDefault="003E225B" w:rsidP="0044242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Winden mit </w:t>
            </w:r>
            <w:r w:rsid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„</w:t>
            </w:r>
            <w:r w:rsidR="00896CE3"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Not-</w:t>
            </w:r>
            <w:r w:rsidR="00AD6A5E"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Halt-</w:t>
            </w:r>
            <w:r w:rsidR="00896CE3"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Einrichtung</w:t>
            </w:r>
            <w:r w:rsid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“</w:t>
            </w:r>
            <w:r w:rsidR="004F58EA"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AD6A5E"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ausrüsten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56F74428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EB25627" w14:textId="105D252B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7A9FEEE1" w14:textId="1DA08928" w:rsidR="00FF04B4" w:rsidRPr="00A936E4" w:rsidRDefault="00FF04B4" w:rsidP="00A936E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9C3056" w14:textId="77777777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2F106269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7D800F1" w14:textId="456EE86F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34A919C9" w14:textId="54EFF6EE" w:rsidR="00FF04B4" w:rsidRPr="004F0DC6" w:rsidRDefault="00FF04B4" w:rsidP="004F0DC6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klare Absprachen mit der Schiffsführung sorgen, Kommunikationsmittel vor Beginn der Tätigkeiten auf eine sichere Funktion überprüfen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64EFB6D" w14:textId="77777777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35004EE0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40C2874" w14:textId="02D02C89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178F07D" w14:textId="6AA7D8D5" w:rsidR="00FF04B4" w:rsidRPr="00A936E4" w:rsidRDefault="00FF04B4" w:rsidP="00A936E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im Gefahrenbereich aufhalten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7AEB91C" w14:textId="77777777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77A22A41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75AB641" w14:textId="652BCB00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0E0E8A12" w14:textId="16491E7F" w:rsidR="00FF04B4" w:rsidRPr="00FF04B4" w:rsidRDefault="00FF04B4" w:rsidP="00DA3CC9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Geeignete PSA zur Verfügung stellen und für deren Benutzung sorgen, </w:t>
            </w:r>
            <w:r w:rsidRPr="00E4510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5ED39FB1" w14:textId="29AE9D92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6F326E3D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3DD0D60D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5B0658FB" w:rsidR="00FF04B4" w:rsidRPr="00A936E4" w:rsidRDefault="00FF04B4" w:rsidP="00DA3CC9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Sichtkontrolle von Draht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T</w:t>
            </w: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auwerk vor der Benutzung auf erkennbare Schäden, wie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z. B. </w:t>
            </w: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Fleischhaken</w:t>
            </w:r>
            <w:r w:rsid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. </w:t>
            </w:r>
            <w:r w:rsidR="00645C1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beschädigte</w:t>
            </w:r>
            <w:r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Drähte und Tauwerk nicht mehr benutz</w:t>
            </w:r>
            <w:r w:rsidR="00645C1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2ADFBCEA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1167B" w14:paraId="62CED98F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C24EB38" w14:textId="0B32507E" w:rsidR="0001167B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1F608608" w14:textId="368F4A05" w:rsidR="0001167B" w:rsidRPr="00E45103" w:rsidRDefault="0001167B" w:rsidP="00E4510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Aufenthalt in Rückschlagbereichen von unter Kraft stehenden Festmacherleinen oder -drähten </w:t>
            </w:r>
            <w:r w:rsidR="007269DD"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502ADB5" w14:textId="645F2370" w:rsidR="0001167B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:rsidRPr="00595AB3" w14:paraId="54C37389" w14:textId="77777777" w:rsidTr="00FF04B4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53997598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6378ABB3" w:rsidR="00FF04B4" w:rsidRPr="0001167B" w:rsidRDefault="00FF04B4" w:rsidP="00E4510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Dafür sorgen, dass die </w:t>
            </w:r>
            <w:bookmarkStart w:id="0" w:name="_Hlk115251296"/>
            <w:r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Wurfleine niemals anstelle eines</w:t>
            </w:r>
            <w:r w:rsidR="00A936E4"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Taklings</w:t>
            </w:r>
            <w:proofErr w:type="spellEnd"/>
            <w:r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Kunststoff- oder Sandsacks mit Schäkeln, Schrauben oder anderen Gegenständen beschwert wird</w:t>
            </w:r>
            <w:bookmarkEnd w:id="0"/>
          </w:p>
        </w:tc>
        <w:tc>
          <w:tcPr>
            <w:tcW w:w="1078" w:type="pct"/>
            <w:shd w:val="clear" w:color="auto" w:fill="FFFFFF" w:themeFill="background1"/>
          </w:tcPr>
          <w:p w14:paraId="2DC40A14" w14:textId="30DF7600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1167B" w:rsidRPr="00595AB3" w14:paraId="5215031D" w14:textId="77777777" w:rsidTr="00FF04B4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1E8C4582" w14:textId="067FFE5B" w:rsidR="0001167B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6534ED7" w14:textId="6BA14F9B" w:rsidR="0001167B" w:rsidRPr="00E45103" w:rsidDel="00A90E4B" w:rsidRDefault="0001167B" w:rsidP="00E4510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451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Festmachertaue und Wurfleinen schnell einholen und beim Loswerfen darauf achten, dass sie nicht in die Schiffsschraube gelangen können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50453F0" w14:textId="1E289CFA" w:rsidR="0001167B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55DEB479" w14:textId="77777777" w:rsidTr="00FF04B4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57AAF1DE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EF0F217" w14:textId="0A606580" w:rsidR="00FF04B4" w:rsidRDefault="003853C2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Decksbereiche </w:t>
            </w:r>
            <w:r w:rsidR="00FF04B4"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mü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ssen aufgeklart und sauber sein,</w:t>
            </w:r>
            <w:r w:rsidR="00FF04B4"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Festmacherleinen oder -drähte müssen an den dafür vorgesehenen Orten aufgesch</w:t>
            </w:r>
            <w:r w:rsidR="00FF04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ossen, ausgelegt oder </w:t>
            </w:r>
            <w:proofErr w:type="spellStart"/>
            <w:r w:rsidR="00FF04B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aufgetrom</w:t>
            </w:r>
            <w:r w:rsidR="00FF04B4"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melt</w:t>
            </w:r>
            <w:proofErr w:type="spellEnd"/>
            <w:r w:rsidR="00FF04B4"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sei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</w:p>
          <w:p w14:paraId="13905D1E" w14:textId="6C843AEA" w:rsidR="00FF04B4" w:rsidRPr="00B5327D" w:rsidRDefault="00FF04B4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Alle Gegenstände, die nicht unmittelbar gebraucht werden, sind zu entfernen, um Stolpergefahren zu vermeiden.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171ADD31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1E5ACCD8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17513A15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4AC23CA" w:rsidR="00FF04B4" w:rsidRPr="003853C2" w:rsidRDefault="00FF04B4" w:rsidP="003853C2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53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Hilfsmittel benutzen (z.B. Bootshaken)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4BAE05BD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23B86689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25BA2171" w:rsidR="00FF04B4" w:rsidRPr="00926C74" w:rsidRDefault="0001167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770A30F" w14:textId="16910C33" w:rsidR="003853C2" w:rsidRDefault="00FF04B4" w:rsidP="00A936E4">
            <w:pPr>
              <w:pStyle w:val="Listenabsatz"/>
              <w:keepNext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45C1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das Tragen von</w:t>
            </w:r>
            <w:r w:rsidR="003853C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645C1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UV-Strahlung schützender Kleidung sorgen, z.B. Kopfbedeckung, langärmlige Arbeitskleidung, Nackenschutz</w:t>
            </w:r>
          </w:p>
          <w:p w14:paraId="42AF4B9F" w14:textId="19C8CAAA" w:rsidR="00FF04B4" w:rsidRPr="00A936E4" w:rsidRDefault="003853C2" w:rsidP="00A936E4">
            <w:pPr>
              <w:pStyle w:val="Listenabsatz"/>
              <w:keepNext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</w:t>
            </w:r>
            <w:r w:rsidR="00FF04B4" w:rsidRPr="00A936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eeignetes Sonnenschutzmittel zur Verfügung stellen und für dessen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6E1F0EC5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1660C6D7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3E996B11" w:rsidR="00FF04B4" w:rsidRDefault="001A689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25B3310" w:rsidR="00FF04B4" w:rsidRPr="003B6AE9" w:rsidRDefault="00FF04B4" w:rsidP="0044242C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Den Witterungen entsprechende ganzkörperbedeckende Kleidung tragen</w:t>
            </w:r>
            <w:r w:rsidR="001A689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z. B. Regenkleidung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38867B53" w:rsidR="00FF04B4" w:rsidRPr="00926C74" w:rsidRDefault="00FF04B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0758F3A6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0478C85F" w:rsidR="00FF04B4" w:rsidRDefault="001A689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206D6496" w:rsidR="00FF04B4" w:rsidRPr="00A936E4" w:rsidRDefault="00FF04B4" w:rsidP="0044242C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047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FF04B4" w:rsidRPr="00926C74" w:rsidRDefault="00FF04B4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A689C" w14:paraId="1FE4D95C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8E4855C" w14:textId="3B6DE6E7" w:rsidR="001A689C" w:rsidRDefault="001A689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11DCDC5D" w14:textId="101220F0" w:rsidR="001A689C" w:rsidRPr="0044242C" w:rsidRDefault="0044242C" w:rsidP="0044242C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das Tragen g</w:t>
            </w:r>
            <w:r w:rsidR="001A689C"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eeignete</w:t>
            </w:r>
            <w:r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="001A689C"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Sonnenbrille</w:t>
            </w:r>
            <w:r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1A689C"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8C3DA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und / oder Verschattung wie geeigneter Kopfbedeckung </w:t>
            </w:r>
            <w:r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sorg</w:t>
            </w:r>
            <w:r w:rsidR="001A689C" w:rsidRPr="004424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0FE8944" w14:textId="77777777" w:rsidR="001A689C" w:rsidRPr="00926C74" w:rsidRDefault="001A689C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0EE0E0B5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7535FB58" w:rsidR="00FF04B4" w:rsidRDefault="00875E4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AE458EE" w:rsidR="00FF04B4" w:rsidRPr="0044242C" w:rsidRDefault="00FF04B4" w:rsidP="0044242C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FF04B4" w:rsidRPr="00926C74" w:rsidRDefault="00FF04B4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23E3E951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42CF8E08" w:rsidR="00FF04B4" w:rsidRDefault="00875E4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67E5944A" w:rsidR="00FF04B4" w:rsidRPr="00366776" w:rsidRDefault="00FF04B4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FF04B4" w:rsidRPr="00366776" w:rsidRDefault="00FF04B4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F04B4" w14:paraId="5DEDE0F2" w14:textId="77777777" w:rsidTr="00FF04B4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223565B7" w:rsidR="00FF04B4" w:rsidRDefault="00875E4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5A7D0048" w:rsidR="00FF04B4" w:rsidRPr="00366776" w:rsidRDefault="00FF04B4" w:rsidP="00982390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FF04B4" w:rsidRPr="00366776" w:rsidRDefault="00FF04B4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1" w:name="_GoBack"/>
      <w:bookmarkEnd w:id="1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96C04" w16cid:durableId="26B8A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56D0" w14:textId="77777777" w:rsidR="007C2180" w:rsidRDefault="007C2180" w:rsidP="00A23973">
      <w:pPr>
        <w:spacing w:after="0" w:line="240" w:lineRule="auto"/>
      </w:pPr>
      <w:r>
        <w:separator/>
      </w:r>
    </w:p>
  </w:endnote>
  <w:endnote w:type="continuationSeparator" w:id="0">
    <w:p w14:paraId="7F5BC7AE" w14:textId="77777777" w:rsidR="007C2180" w:rsidRDefault="007C2180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08B99AF0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75E4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75E4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829073C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875E4E">
      <w:rPr>
        <w:sz w:val="18"/>
        <w:szCs w:val="18"/>
      </w:rPr>
      <w:t>12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A936E4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75E4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75E4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9FDB" w14:textId="77777777" w:rsidR="007C2180" w:rsidRDefault="007C2180" w:rsidP="00A23973">
      <w:pPr>
        <w:spacing w:after="0" w:line="240" w:lineRule="auto"/>
      </w:pPr>
      <w:r>
        <w:separator/>
      </w:r>
    </w:p>
  </w:footnote>
  <w:footnote w:type="continuationSeparator" w:id="0">
    <w:p w14:paraId="1FCFB393" w14:textId="77777777" w:rsidR="007C2180" w:rsidRDefault="007C2180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2761"/>
    <w:multiLevelType w:val="hybridMultilevel"/>
    <w:tmpl w:val="BC84A19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8047B22"/>
    <w:multiLevelType w:val="hybridMultilevel"/>
    <w:tmpl w:val="2BA4816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915596"/>
    <w:multiLevelType w:val="hybridMultilevel"/>
    <w:tmpl w:val="3BFCAC4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30F7"/>
    <w:multiLevelType w:val="hybridMultilevel"/>
    <w:tmpl w:val="5C64BB5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5C81"/>
    <w:multiLevelType w:val="hybridMultilevel"/>
    <w:tmpl w:val="0974FF8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55877157"/>
    <w:multiLevelType w:val="hybridMultilevel"/>
    <w:tmpl w:val="E72AEF3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963E2"/>
    <w:multiLevelType w:val="hybridMultilevel"/>
    <w:tmpl w:val="3ABC883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  <w:num w:numId="20">
    <w:abstractNumId w:val="11"/>
  </w:num>
  <w:num w:numId="21">
    <w:abstractNumId w:val="2"/>
  </w:num>
  <w:num w:numId="22">
    <w:abstractNumId w:val="10"/>
  </w:num>
  <w:num w:numId="23">
    <w:abstractNumId w:val="4"/>
  </w:num>
  <w:num w:numId="24">
    <w:abstractNumId w:val="1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1167B"/>
    <w:rsid w:val="0002713F"/>
    <w:rsid w:val="00037DD1"/>
    <w:rsid w:val="000543DA"/>
    <w:rsid w:val="0005606B"/>
    <w:rsid w:val="000A7703"/>
    <w:rsid w:val="000C764E"/>
    <w:rsid w:val="0015465F"/>
    <w:rsid w:val="00182A03"/>
    <w:rsid w:val="001A689C"/>
    <w:rsid w:val="001B1DB5"/>
    <w:rsid w:val="00217770"/>
    <w:rsid w:val="002718B9"/>
    <w:rsid w:val="002B3D3C"/>
    <w:rsid w:val="002B4D97"/>
    <w:rsid w:val="002D51DE"/>
    <w:rsid w:val="002F74C3"/>
    <w:rsid w:val="003322A9"/>
    <w:rsid w:val="00332706"/>
    <w:rsid w:val="003519B9"/>
    <w:rsid w:val="0036412E"/>
    <w:rsid w:val="00366776"/>
    <w:rsid w:val="003853C2"/>
    <w:rsid w:val="003B6AE9"/>
    <w:rsid w:val="003E225B"/>
    <w:rsid w:val="0044242C"/>
    <w:rsid w:val="00476C16"/>
    <w:rsid w:val="00485592"/>
    <w:rsid w:val="004C2F31"/>
    <w:rsid w:val="004F0DC6"/>
    <w:rsid w:val="004F3B7F"/>
    <w:rsid w:val="004F58EA"/>
    <w:rsid w:val="00500D25"/>
    <w:rsid w:val="0051177D"/>
    <w:rsid w:val="00567517"/>
    <w:rsid w:val="00596B6A"/>
    <w:rsid w:val="005C0D1B"/>
    <w:rsid w:val="005D6689"/>
    <w:rsid w:val="005F3075"/>
    <w:rsid w:val="005F7140"/>
    <w:rsid w:val="00614FD9"/>
    <w:rsid w:val="0061669D"/>
    <w:rsid w:val="00633DB1"/>
    <w:rsid w:val="00645C15"/>
    <w:rsid w:val="006607AB"/>
    <w:rsid w:val="00687FB5"/>
    <w:rsid w:val="006A53BA"/>
    <w:rsid w:val="006E0033"/>
    <w:rsid w:val="006E70C7"/>
    <w:rsid w:val="007265A2"/>
    <w:rsid w:val="007269DD"/>
    <w:rsid w:val="0079047F"/>
    <w:rsid w:val="007919F7"/>
    <w:rsid w:val="00795862"/>
    <w:rsid w:val="007C2180"/>
    <w:rsid w:val="007E5968"/>
    <w:rsid w:val="00832DD3"/>
    <w:rsid w:val="00875E4E"/>
    <w:rsid w:val="00896CE3"/>
    <w:rsid w:val="008C3DA1"/>
    <w:rsid w:val="008C3F39"/>
    <w:rsid w:val="00926C74"/>
    <w:rsid w:val="00971D96"/>
    <w:rsid w:val="00982390"/>
    <w:rsid w:val="00996922"/>
    <w:rsid w:val="009B6986"/>
    <w:rsid w:val="009B746D"/>
    <w:rsid w:val="00A15FE2"/>
    <w:rsid w:val="00A23973"/>
    <w:rsid w:val="00A35937"/>
    <w:rsid w:val="00A90E4B"/>
    <w:rsid w:val="00A936E4"/>
    <w:rsid w:val="00AD6A5E"/>
    <w:rsid w:val="00B5327D"/>
    <w:rsid w:val="00B72477"/>
    <w:rsid w:val="00BD109D"/>
    <w:rsid w:val="00C37B97"/>
    <w:rsid w:val="00C45B76"/>
    <w:rsid w:val="00C56FE5"/>
    <w:rsid w:val="00C647FB"/>
    <w:rsid w:val="00C70693"/>
    <w:rsid w:val="00CC5C0F"/>
    <w:rsid w:val="00CE262D"/>
    <w:rsid w:val="00D07ACF"/>
    <w:rsid w:val="00D35AF5"/>
    <w:rsid w:val="00D40155"/>
    <w:rsid w:val="00D77231"/>
    <w:rsid w:val="00DA3CC9"/>
    <w:rsid w:val="00DB13D7"/>
    <w:rsid w:val="00DB37C1"/>
    <w:rsid w:val="00DD1986"/>
    <w:rsid w:val="00DD6C48"/>
    <w:rsid w:val="00E37837"/>
    <w:rsid w:val="00E45103"/>
    <w:rsid w:val="00E51BFA"/>
    <w:rsid w:val="00E61E41"/>
    <w:rsid w:val="00E805FF"/>
    <w:rsid w:val="00EC398E"/>
    <w:rsid w:val="00F01AE2"/>
    <w:rsid w:val="00F34C6B"/>
    <w:rsid w:val="00F40FCE"/>
    <w:rsid w:val="00F43637"/>
    <w:rsid w:val="00F60933"/>
    <w:rsid w:val="00F91978"/>
    <w:rsid w:val="00FE7FDD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35937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Los- und Festmachen - Schutzmaßnahmen</vt:lpstr>
    </vt:vector>
  </TitlesOfParts>
  <Company>BG Verkehr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Los- und Festmachen - Schutzmaßnahmen</dc:title>
  <dc:subject>Gefährdungsbeurteilung Binnenschifffahrt</dc:subject>
  <dc:creator>BG Verkehr</dc:creator>
  <cp:keywords/>
  <dc:description/>
  <cp:lastModifiedBy>Hoffmann, Ulrike</cp:lastModifiedBy>
  <cp:revision>22</cp:revision>
  <dcterms:created xsi:type="dcterms:W3CDTF">2023-04-17T13:09:00Z</dcterms:created>
  <dcterms:modified xsi:type="dcterms:W3CDTF">2023-12-06T10:45:00Z</dcterms:modified>
</cp:coreProperties>
</file>