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EA785A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A785A" w:rsidRPr="00DE5450" w:rsidRDefault="00EA785A" w:rsidP="00EA785A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78C1C11B" w:rsidR="00EA785A" w:rsidRPr="00D07ACF" w:rsidRDefault="003210A7" w:rsidP="00EA785A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Binnenschifffahrt</w:t>
            </w:r>
          </w:p>
        </w:tc>
      </w:tr>
      <w:tr w:rsidR="00EA785A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A785A" w:rsidRPr="00EC62CD" w:rsidRDefault="00EA785A" w:rsidP="00EA785A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2BA4E208" w:rsidR="00EA785A" w:rsidRPr="00D07ACF" w:rsidRDefault="00EA785A" w:rsidP="00EA785A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01956AA7" w:rsidR="00EE0D83" w:rsidRPr="00D07ACF" w:rsidRDefault="004F4D38" w:rsidP="004F4D38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Umgang mit </w:t>
            </w:r>
            <w:r w:rsidR="0004738D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Reinigung</w:t>
            </w: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smitteln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EA785A" w:rsidRDefault="009826BC" w:rsidP="00EA785A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6CFA4B5D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4584BE1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136E8081" w:rsidR="009826BC" w:rsidRPr="009826BC" w:rsidRDefault="0004738D" w:rsidP="009826BC">
            <w:pPr>
              <w:rPr>
                <w:sz w:val="20"/>
                <w:szCs w:val="20"/>
              </w:rPr>
            </w:pPr>
            <w:r w:rsidRPr="0004738D">
              <w:rPr>
                <w:sz w:val="20"/>
                <w:szCs w:val="20"/>
              </w:rPr>
              <w:t>Ausrutschen und Stürzen auf verschmutzten oder nassen Böden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363FBA3E" w:rsidR="009826BC" w:rsidRPr="009826BC" w:rsidRDefault="0004738D" w:rsidP="009826BC">
            <w:pPr>
              <w:rPr>
                <w:sz w:val="20"/>
                <w:szCs w:val="20"/>
                <w:lang w:eastAsia="de-DE"/>
              </w:rPr>
            </w:pPr>
            <w:r w:rsidRPr="0004738D">
              <w:rPr>
                <w:sz w:val="20"/>
                <w:szCs w:val="20"/>
              </w:rPr>
              <w:t xml:space="preserve"> 2</w:t>
            </w:r>
            <w:r w:rsidR="003210A7">
              <w:rPr>
                <w:sz w:val="20"/>
                <w:szCs w:val="20"/>
              </w:rPr>
              <w:t>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04738D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04738D" w:rsidRPr="00EA785A" w:rsidRDefault="0004738D" w:rsidP="0004738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A785A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622106" w14:textId="77777777" w:rsidR="0004738D" w:rsidRPr="00EA785A" w:rsidRDefault="0004738D" w:rsidP="0004738D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A785A">
              <w:rPr>
                <w:rFonts w:asciiTheme="minorHAnsi" w:hAnsiTheme="minorHAnsi" w:cstheme="minorHAnsi"/>
                <w:sz w:val="20"/>
                <w:szCs w:val="20"/>
              </w:rPr>
              <w:t>Kontamination von Kleidung oder Gegenständen mit Gefahrstoffen</w:t>
            </w:r>
          </w:p>
          <w:p w14:paraId="5799996D" w14:textId="77777777" w:rsidR="0004738D" w:rsidRPr="00EA785A" w:rsidRDefault="0004738D" w:rsidP="0004738D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A785A">
              <w:rPr>
                <w:rFonts w:asciiTheme="minorHAnsi" w:hAnsiTheme="minorHAnsi" w:cstheme="minorHAnsi"/>
                <w:sz w:val="20"/>
                <w:szCs w:val="20"/>
              </w:rPr>
              <w:t>Verätzungsgefahr bei Umfüllarbeiten, Sprühen, Überkopfarbeiten</w:t>
            </w:r>
          </w:p>
          <w:p w14:paraId="5D4FBE45" w14:textId="49F6F016" w:rsidR="0004738D" w:rsidRPr="00EA785A" w:rsidRDefault="0004738D" w:rsidP="00101704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A785A">
              <w:rPr>
                <w:rFonts w:asciiTheme="minorHAnsi" w:hAnsiTheme="minorHAnsi" w:cstheme="minorHAnsi"/>
                <w:sz w:val="20"/>
                <w:szCs w:val="20"/>
              </w:rPr>
              <w:t>Gesundheitsgefährdung durch Sensibilisierun</w:t>
            </w:r>
            <w:r w:rsidR="00E86B9A">
              <w:rPr>
                <w:rFonts w:asciiTheme="minorHAnsi" w:hAnsiTheme="minorHAnsi" w:cstheme="minorHAnsi"/>
                <w:sz w:val="20"/>
                <w:szCs w:val="20"/>
              </w:rPr>
              <w:t>g / Allergisierung: Hautekzem, a</w:t>
            </w:r>
            <w:r w:rsidRPr="00EA785A">
              <w:rPr>
                <w:rFonts w:asciiTheme="minorHAnsi" w:hAnsiTheme="minorHAnsi" w:cstheme="minorHAnsi"/>
                <w:sz w:val="20"/>
                <w:szCs w:val="20"/>
              </w:rPr>
              <w:t>llergische Reaktion, Hautreizung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4FEF7C" w14:textId="0765AD4C" w:rsidR="0004738D" w:rsidRPr="00EA785A" w:rsidRDefault="0004738D" w:rsidP="0004738D">
            <w:pPr>
              <w:tabs>
                <w:tab w:val="left" w:pos="1134"/>
              </w:tabs>
              <w:rPr>
                <w:rFonts w:cstheme="minorHAnsi"/>
                <w:sz w:val="20"/>
                <w:szCs w:val="20"/>
              </w:rPr>
            </w:pPr>
            <w:r w:rsidRPr="00EA785A">
              <w:rPr>
                <w:rFonts w:cstheme="minorHAnsi"/>
                <w:sz w:val="20"/>
                <w:szCs w:val="20"/>
              </w:rPr>
              <w:t>2, 3, 4, 5, 6</w:t>
            </w:r>
            <w:r w:rsidR="003E53BD">
              <w:rPr>
                <w:rFonts w:cstheme="minorHAnsi"/>
                <w:sz w:val="20"/>
                <w:szCs w:val="20"/>
              </w:rPr>
              <w:t>, 12</w:t>
            </w:r>
            <w:r w:rsidR="00651136">
              <w:rPr>
                <w:rFonts w:cstheme="minorHAnsi"/>
                <w:sz w:val="20"/>
                <w:szCs w:val="20"/>
              </w:rPr>
              <w:t>, 14</w:t>
            </w:r>
          </w:p>
          <w:p w14:paraId="4AFF9889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4738D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A785A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27A0B94" w:rsidR="0004738D" w:rsidRPr="00EA785A" w:rsidRDefault="0004738D" w:rsidP="00101704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</w:rPr>
            </w:pPr>
            <w:r w:rsidRPr="00EA785A">
              <w:rPr>
                <w:rFonts w:cstheme="minorHAnsi"/>
                <w:sz w:val="20"/>
                <w:szCs w:val="20"/>
              </w:rPr>
              <w:t xml:space="preserve">Einatmen von gesundheitsschädlichen Gasen, Dämpfen oder Aerosolen, die bei Reinigungsarbeiten frei werden 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83045D" w14:textId="77777777" w:rsidR="0004738D" w:rsidRPr="00EA785A" w:rsidRDefault="0004738D" w:rsidP="0004738D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  <w:p w14:paraId="044B5F59" w14:textId="77777777" w:rsidR="0004738D" w:rsidRPr="00EA785A" w:rsidRDefault="0004738D" w:rsidP="0004738D">
            <w:pPr>
              <w:rPr>
                <w:sz w:val="20"/>
                <w:szCs w:val="20"/>
              </w:rPr>
            </w:pPr>
          </w:p>
          <w:p w14:paraId="69DA6C08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6CF919" w14:textId="1BA43469" w:rsidR="0004738D" w:rsidRPr="00EA785A" w:rsidRDefault="0004738D" w:rsidP="0004738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A785A">
              <w:rPr>
                <w:sz w:val="20"/>
                <w:szCs w:val="20"/>
              </w:rPr>
              <w:t>1, 2, 3, 4, 8, 10</w:t>
            </w:r>
            <w:r w:rsidR="00082142">
              <w:rPr>
                <w:sz w:val="20"/>
                <w:szCs w:val="20"/>
              </w:rPr>
              <w:t>, 13</w:t>
            </w:r>
            <w:r w:rsidR="00651136">
              <w:rPr>
                <w:sz w:val="20"/>
                <w:szCs w:val="20"/>
              </w:rPr>
              <w:t>, 14</w:t>
            </w:r>
          </w:p>
          <w:p w14:paraId="7B6F57F4" w14:textId="676604B1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4738D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A785A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7A3768F1" w:rsidR="0004738D" w:rsidRPr="00EA785A" w:rsidRDefault="0004738D" w:rsidP="00101704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EA785A">
              <w:rPr>
                <w:sz w:val="20"/>
                <w:szCs w:val="20"/>
              </w:rPr>
              <w:t>Unbeabsichtigtes Verschlucken von Reinigungs- oder Desinfektionsmitteln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15D4DD" w14:textId="77777777" w:rsidR="0004738D" w:rsidRPr="00EA785A" w:rsidRDefault="0004738D" w:rsidP="0004738D">
            <w:pPr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728AD385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BC101D" w14:textId="1152E845" w:rsidR="0004738D" w:rsidRPr="00EA785A" w:rsidRDefault="0004738D" w:rsidP="0004738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A785A">
              <w:rPr>
                <w:sz w:val="20"/>
                <w:szCs w:val="20"/>
              </w:rPr>
              <w:t>1, 3, 4, 7</w:t>
            </w:r>
            <w:r w:rsidR="004C1E55">
              <w:rPr>
                <w:sz w:val="20"/>
                <w:szCs w:val="20"/>
              </w:rPr>
              <w:t>, 14</w:t>
            </w:r>
          </w:p>
          <w:p w14:paraId="52E19538" w14:textId="4728A5B6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4738D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04738D" w:rsidRPr="00EA785A" w:rsidRDefault="0004738D" w:rsidP="0004738D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A785A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93E294" w14:textId="64652E73" w:rsidR="0004738D" w:rsidRDefault="0004738D" w:rsidP="0004738D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A785A">
              <w:rPr>
                <w:rFonts w:asciiTheme="minorHAnsi" w:hAnsiTheme="minorHAnsi" w:cstheme="minorHAnsi"/>
                <w:sz w:val="20"/>
                <w:szCs w:val="20"/>
              </w:rPr>
              <w:t>Explosions- und Brandgefährdung bei der Verwendung von sauerstoffhaltigen Desinfektionsmitteln, z.B. Wasserstoffperoxid</w:t>
            </w:r>
          </w:p>
          <w:p w14:paraId="63EB1ACC" w14:textId="257723DB" w:rsidR="0004738D" w:rsidRPr="00EA785A" w:rsidRDefault="0004738D" w:rsidP="00C3780C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lang w:eastAsia="de-DE"/>
              </w:rPr>
            </w:pPr>
            <w:r w:rsidRPr="00C3780C">
              <w:rPr>
                <w:rFonts w:asciiTheme="minorHAnsi" w:hAnsiTheme="minorHAnsi" w:cstheme="minorHAnsi"/>
                <w:sz w:val="20"/>
                <w:szCs w:val="20"/>
              </w:rPr>
              <w:t xml:space="preserve">Gefährdung durch chemische Reaktionen beim Mischen von Reinigungsmitteln 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0203B5F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05CCFAC3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A785A">
              <w:rPr>
                <w:sz w:val="20"/>
                <w:szCs w:val="20"/>
              </w:rPr>
              <w:t>1, 3, 4, 8, 9</w:t>
            </w:r>
            <w:r w:rsidR="00082142">
              <w:rPr>
                <w:sz w:val="20"/>
                <w:szCs w:val="20"/>
              </w:rPr>
              <w:t>, 13</w:t>
            </w:r>
            <w:r w:rsidR="00651136">
              <w:rPr>
                <w:sz w:val="20"/>
                <w:szCs w:val="20"/>
              </w:rPr>
              <w:t>, 14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4738D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A785A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651136">
            <w:pPr>
              <w:pStyle w:val="Az2zu2"/>
              <w:keepLines/>
              <w:numPr>
                <w:ilvl w:val="0"/>
                <w:numId w:val="0"/>
              </w:numPr>
              <w:ind w:left="360" w:hanging="3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3575A55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</w:t>
            </w:r>
            <w:r w:rsidR="00401AC4">
              <w:rPr>
                <w:sz w:val="20"/>
                <w:szCs w:val="20"/>
              </w:rPr>
              <w:t>-</w:t>
            </w:r>
            <w:bookmarkStart w:id="0" w:name="_GoBack"/>
            <w:bookmarkEnd w:id="0"/>
            <w:r w:rsidRPr="001A3026">
              <w:rPr>
                <w:sz w:val="20"/>
                <w:szCs w:val="20"/>
              </w:rPr>
              <w:t>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4738D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28640114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4738D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1068DEA7" w:rsidR="0004738D" w:rsidRPr="001A3026" w:rsidRDefault="0004738D" w:rsidP="00101704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4738D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4738D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01704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01704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01704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01704">
              <w:rPr>
                <w:sz w:val="20"/>
                <w:szCs w:val="20"/>
              </w:rPr>
              <w:t>Ungenügend gestaltete Arbeitsplatz- und Ar</w:t>
            </w:r>
            <w:r w:rsidRPr="00101704">
              <w:rPr>
                <w:sz w:val="20"/>
                <w:szCs w:val="20"/>
              </w:rPr>
              <w:lastRenderedPageBreak/>
              <w:t>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01704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453EA4CF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01AC4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01AC4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5DEB07BA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</w:t>
    </w:r>
    <w:r w:rsidR="00401AC4">
      <w:rPr>
        <w:sz w:val="18"/>
        <w:szCs w:val="18"/>
      </w:rPr>
      <w:t>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</w:t>
    </w:r>
    <w:r w:rsidR="00401AC4">
      <w:rPr>
        <w:sz w:val="18"/>
        <w:szCs w:val="18"/>
      </w:rPr>
      <w:t>4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01AC4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01AC4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7FE"/>
    <w:multiLevelType w:val="hybridMultilevel"/>
    <w:tmpl w:val="8320C7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4738D"/>
    <w:rsid w:val="000543DA"/>
    <w:rsid w:val="0005606B"/>
    <w:rsid w:val="00082142"/>
    <w:rsid w:val="000A4831"/>
    <w:rsid w:val="000A6469"/>
    <w:rsid w:val="00101704"/>
    <w:rsid w:val="00182A03"/>
    <w:rsid w:val="001A3026"/>
    <w:rsid w:val="001B3054"/>
    <w:rsid w:val="00217770"/>
    <w:rsid w:val="00256AED"/>
    <w:rsid w:val="00257071"/>
    <w:rsid w:val="002718B9"/>
    <w:rsid w:val="00293E8C"/>
    <w:rsid w:val="002F74C3"/>
    <w:rsid w:val="003076CA"/>
    <w:rsid w:val="003210A7"/>
    <w:rsid w:val="00335F0B"/>
    <w:rsid w:val="00355413"/>
    <w:rsid w:val="0036412E"/>
    <w:rsid w:val="003A77A1"/>
    <w:rsid w:val="003E53BD"/>
    <w:rsid w:val="00401AC4"/>
    <w:rsid w:val="00411C80"/>
    <w:rsid w:val="00415FA5"/>
    <w:rsid w:val="004365CC"/>
    <w:rsid w:val="004C1E55"/>
    <w:rsid w:val="004F4D38"/>
    <w:rsid w:val="00506F9F"/>
    <w:rsid w:val="0051177D"/>
    <w:rsid w:val="0055199B"/>
    <w:rsid w:val="005724F2"/>
    <w:rsid w:val="006028C1"/>
    <w:rsid w:val="006066FB"/>
    <w:rsid w:val="00633DB1"/>
    <w:rsid w:val="00651136"/>
    <w:rsid w:val="006D4DDE"/>
    <w:rsid w:val="006E70C7"/>
    <w:rsid w:val="00722587"/>
    <w:rsid w:val="007265A2"/>
    <w:rsid w:val="007A6B61"/>
    <w:rsid w:val="008C671B"/>
    <w:rsid w:val="00907DA0"/>
    <w:rsid w:val="00937647"/>
    <w:rsid w:val="009726F2"/>
    <w:rsid w:val="009826BC"/>
    <w:rsid w:val="009A1DB3"/>
    <w:rsid w:val="009B7748"/>
    <w:rsid w:val="00A42CB2"/>
    <w:rsid w:val="00B05DD2"/>
    <w:rsid w:val="00B72477"/>
    <w:rsid w:val="00B75247"/>
    <w:rsid w:val="00BA46E3"/>
    <w:rsid w:val="00BC278C"/>
    <w:rsid w:val="00C3780C"/>
    <w:rsid w:val="00C520FF"/>
    <w:rsid w:val="00C67501"/>
    <w:rsid w:val="00CA0270"/>
    <w:rsid w:val="00CE262D"/>
    <w:rsid w:val="00D40155"/>
    <w:rsid w:val="00D505C5"/>
    <w:rsid w:val="00D77231"/>
    <w:rsid w:val="00D87A8C"/>
    <w:rsid w:val="00DB13D7"/>
    <w:rsid w:val="00DB37C1"/>
    <w:rsid w:val="00DD6C48"/>
    <w:rsid w:val="00E22176"/>
    <w:rsid w:val="00E40D18"/>
    <w:rsid w:val="00E86B9A"/>
    <w:rsid w:val="00EA785A"/>
    <w:rsid w:val="00EB22DF"/>
    <w:rsid w:val="00EE0D83"/>
    <w:rsid w:val="00F34C6B"/>
    <w:rsid w:val="00F47364"/>
    <w:rsid w:val="00FB2BB3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875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Umgang mit Reinigungsmitteln - Gefährdungsbeurteilung</vt:lpstr>
    </vt:vector>
  </TitlesOfParts>
  <Company>BG Verkehr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Umgang mit Reinigungsmitteln - Gefährdungsbeurteilung</dc:title>
  <dc:subject>Gefährdungsbeurteilung Binnenschifffahrt</dc:subject>
  <dc:creator>BG Verkehr</dc:creator>
  <cp:keywords/>
  <dc:description/>
  <cp:lastModifiedBy>Hoffmann, Ulrike</cp:lastModifiedBy>
  <cp:revision>11</cp:revision>
  <dcterms:created xsi:type="dcterms:W3CDTF">2023-05-16T08:44:00Z</dcterms:created>
  <dcterms:modified xsi:type="dcterms:W3CDTF">2024-04-24T09:49:00Z</dcterms:modified>
</cp:coreProperties>
</file>