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15C2E" w14:textId="7EF9C473" w:rsidR="000C764E" w:rsidRDefault="00D07ACF" w:rsidP="000C764E">
      <w:pPr>
        <w:pStyle w:val="berschrift1"/>
        <w:ind w:left="454" w:hanging="454"/>
      </w:pPr>
      <w:r w:rsidRPr="00DE5450">
        <w:t xml:space="preserve">Arbeitsblatt: </w:t>
      </w:r>
      <w:r w:rsidR="00E805FF">
        <w:t>Schutzmaßnahmen</w:t>
      </w:r>
    </w:p>
    <w:p w14:paraId="4EF26F61" w14:textId="672793B2" w:rsidR="000C764E" w:rsidRPr="000C764E" w:rsidRDefault="000C764E" w:rsidP="000C764E">
      <w:pPr>
        <w:pStyle w:val="berschrift1"/>
        <w:spacing w:before="120" w:after="480" w:line="240" w:lineRule="auto"/>
        <w:ind w:left="454" w:hanging="454"/>
        <w:rPr>
          <w:sz w:val="20"/>
        </w:rPr>
      </w:pPr>
      <w:r w:rsidRPr="000C764E">
        <w:rPr>
          <w:sz w:val="20"/>
        </w:rPr>
        <w:t>Schutzmaßnahmen anpassen und ergänzen</w:t>
      </w:r>
    </w:p>
    <w:p w14:paraId="0FC27832" w14:textId="77777777" w:rsidR="000C764E" w:rsidRPr="000C764E" w:rsidRDefault="000C764E" w:rsidP="000C764E">
      <w:pPr>
        <w:rPr>
          <w:lang w:eastAsia="de-DE"/>
        </w:rPr>
        <w:sectPr w:rsidR="000C764E" w:rsidRPr="000C764E" w:rsidSect="003322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4395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1: Grunddaten für das Arbeitsblatt Schutzmaßnahmen"/>
      </w:tblPr>
      <w:tblGrid>
        <w:gridCol w:w="1751"/>
        <w:gridCol w:w="2644"/>
      </w:tblGrid>
      <w:tr w:rsidR="00E61E41" w14:paraId="74AA9CDE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A8BC631" w14:textId="77777777" w:rsidR="00E61E41" w:rsidRPr="00DE5450" w:rsidRDefault="00E61E41" w:rsidP="00E61E41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Branche:</w:t>
            </w:r>
          </w:p>
        </w:tc>
        <w:tc>
          <w:tcPr>
            <w:tcW w:w="2644" w:type="dxa"/>
            <w:shd w:val="clear" w:color="auto" w:fill="auto"/>
          </w:tcPr>
          <w:p w14:paraId="3F3F263C" w14:textId="35A537AE" w:rsidR="00E61E41" w:rsidRPr="001A3520" w:rsidRDefault="00BD109D" w:rsidP="00E61E41">
            <w:pPr>
              <w:tabs>
                <w:tab w:val="left" w:pos="1134"/>
              </w:tabs>
              <w:spacing w:before="120" w:after="80"/>
              <w:rPr>
                <w:i/>
                <w:sz w:val="20"/>
              </w:rPr>
            </w:pPr>
            <w:r w:rsidRPr="001A3520">
              <w:rPr>
                <w:i/>
                <w:sz w:val="20"/>
              </w:rPr>
              <w:t>Seeschifffahrt</w:t>
            </w:r>
          </w:p>
        </w:tc>
      </w:tr>
      <w:tr w:rsidR="000A090D" w14:paraId="166507EF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050DF04" w14:textId="77777777" w:rsidR="000A090D" w:rsidRPr="00EC62CD" w:rsidRDefault="000A090D" w:rsidP="000A090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Arbeitsbereich</w:t>
            </w:r>
            <w:r w:rsidRPr="00DE5450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2644" w:type="dxa"/>
            <w:shd w:val="clear" w:color="auto" w:fill="auto"/>
          </w:tcPr>
          <w:p w14:paraId="49888BB9" w14:textId="457A107B" w:rsidR="000A090D" w:rsidRPr="001A3520" w:rsidRDefault="000A090D" w:rsidP="000A090D">
            <w:pPr>
              <w:tabs>
                <w:tab w:val="left" w:pos="1134"/>
              </w:tabs>
              <w:spacing w:before="120" w:after="80"/>
              <w:rPr>
                <w:i/>
                <w:sz w:val="20"/>
              </w:rPr>
            </w:pPr>
            <w:r w:rsidRPr="001A3520">
              <w:rPr>
                <w:rFonts w:ascii="Arial" w:eastAsia="Times New Roman" w:hAnsi="Arial" w:cs="Arial"/>
                <w:i/>
                <w:sz w:val="20"/>
                <w:lang w:eastAsia="de-DE"/>
              </w:rPr>
              <w:t>Allgemeiner Schiffsbetrieb</w:t>
            </w:r>
          </w:p>
        </w:tc>
      </w:tr>
      <w:tr w:rsidR="000A090D" w14:paraId="6EE5AA75" w14:textId="77777777" w:rsidTr="00CC5C0F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3CEE197E" w14:textId="77777777" w:rsidR="000A090D" w:rsidRPr="00DE5450" w:rsidRDefault="000A090D" w:rsidP="000A090D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Tätigkeit:</w:t>
            </w:r>
          </w:p>
        </w:tc>
        <w:tc>
          <w:tcPr>
            <w:tcW w:w="2644" w:type="dxa"/>
            <w:shd w:val="clear" w:color="auto" w:fill="auto"/>
          </w:tcPr>
          <w:p w14:paraId="1554BD0F" w14:textId="3428261D" w:rsidR="000A090D" w:rsidRPr="001A3520" w:rsidRDefault="000A090D" w:rsidP="000A090D">
            <w:pPr>
              <w:tabs>
                <w:tab w:val="left" w:pos="1134"/>
              </w:tabs>
              <w:spacing w:before="120" w:after="80"/>
              <w:rPr>
                <w:i/>
                <w:sz w:val="20"/>
              </w:rPr>
            </w:pPr>
            <w:r w:rsidRPr="001A3520">
              <w:rPr>
                <w:rFonts w:ascii="Arial" w:eastAsia="Times New Roman" w:hAnsi="Arial" w:cs="Arial"/>
                <w:bCs/>
                <w:i/>
                <w:sz w:val="20"/>
                <w:lang w:eastAsia="de-DE"/>
              </w:rPr>
              <w:t>Arbeiten mit Hebezeugen</w:t>
            </w:r>
          </w:p>
        </w:tc>
      </w:tr>
    </w:tbl>
    <w:p w14:paraId="7BC94BAD" w14:textId="77777777" w:rsidR="00D07ACF" w:rsidRPr="00C45B76" w:rsidRDefault="00D07ACF" w:rsidP="00D07ACF">
      <w:pPr>
        <w:rPr>
          <w:sz w:val="2"/>
          <w:szCs w:val="2"/>
          <w:lang w:eastAsia="de-DE"/>
        </w:rPr>
      </w:pPr>
    </w:p>
    <w:tbl>
      <w:tblPr>
        <w:tblStyle w:val="Tabellenraster"/>
        <w:tblW w:w="4253" w:type="dxa"/>
        <w:tblInd w:w="-5" w:type="dxa"/>
        <w:tblLook w:val="04A0" w:firstRow="1" w:lastRow="0" w:firstColumn="1" w:lastColumn="0" w:noHBand="0" w:noVBand="1"/>
        <w:tblCaption w:val="Arbeitsblatt: Schutzmaßnahmen"/>
        <w:tblDescription w:val="Tabelle 2: Grunddaten für das Arbeitsblatt Schutzmaßnahmen"/>
      </w:tblPr>
      <w:tblGrid>
        <w:gridCol w:w="1751"/>
        <w:gridCol w:w="2502"/>
      </w:tblGrid>
      <w:tr w:rsidR="00D07ACF" w14:paraId="3D8B0BB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746931BE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Unternehmen:</w:t>
            </w:r>
          </w:p>
        </w:tc>
        <w:tc>
          <w:tcPr>
            <w:tcW w:w="2502" w:type="dxa"/>
            <w:shd w:val="clear" w:color="auto" w:fill="auto"/>
          </w:tcPr>
          <w:p w14:paraId="02A636A5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28A4C5CD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1A4D5908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Schiff:</w:t>
            </w:r>
          </w:p>
        </w:tc>
        <w:tc>
          <w:tcPr>
            <w:tcW w:w="2502" w:type="dxa"/>
            <w:shd w:val="clear" w:color="auto" w:fill="auto"/>
          </w:tcPr>
          <w:p w14:paraId="245D4174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D07ACF" w14:paraId="397A5C98" w14:textId="77777777" w:rsidTr="002B3D3C">
        <w:trPr>
          <w:cantSplit/>
          <w:tblHeader/>
        </w:trPr>
        <w:tc>
          <w:tcPr>
            <w:tcW w:w="1751" w:type="dxa"/>
            <w:shd w:val="clear" w:color="auto" w:fill="D9D9D9" w:themeFill="background1" w:themeFillShade="D9"/>
          </w:tcPr>
          <w:p w14:paraId="544507F6" w14:textId="77777777" w:rsidR="00D07ACF" w:rsidRPr="00DE5450" w:rsidRDefault="00D07ACF" w:rsidP="00D07ACF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DE545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Stand:</w:t>
            </w:r>
          </w:p>
        </w:tc>
        <w:tc>
          <w:tcPr>
            <w:tcW w:w="2502" w:type="dxa"/>
            <w:shd w:val="clear" w:color="auto" w:fill="auto"/>
          </w:tcPr>
          <w:p w14:paraId="774F54EF" w14:textId="77777777" w:rsidR="00D07ACF" w:rsidRPr="00D07ACF" w:rsidRDefault="00D07ACF" w:rsidP="00D07ACF">
            <w:pPr>
              <w:tabs>
                <w:tab w:val="left" w:pos="1134"/>
              </w:tabs>
              <w:spacing w:before="120" w:after="8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</w:tbl>
    <w:p w14:paraId="263F1228" w14:textId="77777777" w:rsidR="00D07ACF" w:rsidRDefault="00D07ACF" w:rsidP="002B3D3C">
      <w:pPr>
        <w:spacing w:after="480"/>
        <w:ind w:right="-71"/>
        <w:rPr>
          <w:lang w:eastAsia="de-DE"/>
        </w:rPr>
        <w:sectPr w:rsidR="00D07ACF" w:rsidSect="00FE7FDD">
          <w:type w:val="continuous"/>
          <w:pgSz w:w="11906" w:h="16838"/>
          <w:pgMar w:top="1417" w:right="1274" w:bottom="1134" w:left="1417" w:header="708" w:footer="708" w:gutter="0"/>
          <w:cols w:num="2" w:space="708"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5081" w:type="pct"/>
        <w:tblLook w:val="04A0" w:firstRow="1" w:lastRow="0" w:firstColumn="1" w:lastColumn="0" w:noHBand="0" w:noVBand="1"/>
        <w:tblCaption w:val="Arbeitsblatt: Schutzmaßnahmen"/>
        <w:tblDescription w:val="Tabelle 3: Schutzmaßnahmen anpassen und ergänzen"/>
      </w:tblPr>
      <w:tblGrid>
        <w:gridCol w:w="643"/>
        <w:gridCol w:w="6581"/>
        <w:gridCol w:w="1985"/>
      </w:tblGrid>
      <w:tr w:rsidR="00926C74" w14:paraId="0C28360A" w14:textId="77777777" w:rsidTr="002B3D3C">
        <w:trPr>
          <w:cantSplit/>
          <w:trHeight w:val="266"/>
          <w:tblHeader/>
        </w:trPr>
        <w:tc>
          <w:tcPr>
            <w:tcW w:w="349" w:type="pct"/>
            <w:shd w:val="clear" w:color="auto" w:fill="D9D9D9" w:themeFill="background1" w:themeFillShade="D9"/>
          </w:tcPr>
          <w:p w14:paraId="5CA84153" w14:textId="77777777" w:rsidR="00926C74" w:rsidRPr="00926C74" w:rsidRDefault="00926C74" w:rsidP="00926C74">
            <w:pPr>
              <w:tabs>
                <w:tab w:val="left" w:pos="1134"/>
              </w:tabs>
              <w:spacing w:before="120" w:after="80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3573" w:type="pct"/>
            <w:shd w:val="clear" w:color="auto" w:fill="D9D9D9" w:themeFill="background1" w:themeFillShade="D9"/>
          </w:tcPr>
          <w:p w14:paraId="3DDF0137" w14:textId="77777777" w:rsidR="00926C74" w:rsidRPr="00926C74" w:rsidRDefault="00926C74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Schutzmaßnahmen</w:t>
            </w:r>
          </w:p>
        </w:tc>
        <w:tc>
          <w:tcPr>
            <w:tcW w:w="1078" w:type="pct"/>
            <w:shd w:val="clear" w:color="auto" w:fill="D9D9D9" w:themeFill="background1" w:themeFillShade="D9"/>
          </w:tcPr>
          <w:p w14:paraId="2F3E82AF" w14:textId="56B59F4C" w:rsidR="00926C74" w:rsidRPr="00926C74" w:rsidRDefault="000C764E" w:rsidP="00926C74">
            <w:pPr>
              <w:spacing w:before="120" w:after="80"/>
              <w:ind w:left="35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Umgesetzt von</w:t>
            </w:r>
          </w:p>
        </w:tc>
      </w:tr>
      <w:tr w:rsidR="000A090D" w14:paraId="029D8CFC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DADD587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573" w:type="pct"/>
            <w:shd w:val="clear" w:color="auto" w:fill="FFFFFF" w:themeFill="background1"/>
          </w:tcPr>
          <w:p w14:paraId="10E58937" w14:textId="66843048" w:rsidR="000A090D" w:rsidRPr="000A090D" w:rsidRDefault="00CA6B68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>Z</w:t>
            </w:r>
            <w:r w:rsidR="000A090D" w:rsidRPr="000A090D">
              <w:rPr>
                <w:sz w:val="20"/>
                <w:szCs w:val="20"/>
              </w:rPr>
              <w:t>um Führen schwebender Lasten Führungsseil verwenden</w:t>
            </w:r>
          </w:p>
        </w:tc>
        <w:tc>
          <w:tcPr>
            <w:tcW w:w="1078" w:type="pct"/>
            <w:shd w:val="clear" w:color="auto" w:fill="FFFFFF" w:themeFill="background1"/>
          </w:tcPr>
          <w:p w14:paraId="50CDCF7B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6F326E3D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1365737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3573" w:type="pct"/>
            <w:shd w:val="clear" w:color="auto" w:fill="FFFFFF" w:themeFill="background1"/>
          </w:tcPr>
          <w:p w14:paraId="4CBCD79C" w14:textId="222564E1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Sicherstellen, das sich niemand im Gefahrenbereich aufhält, z.B. unter schwebenden Lasten bzw. zwischen schwebenden Lasten und festen Hindernissen oder im Schwenkbereich des Hebezeuges</w:t>
            </w:r>
          </w:p>
        </w:tc>
        <w:tc>
          <w:tcPr>
            <w:tcW w:w="1078" w:type="pct"/>
            <w:shd w:val="clear" w:color="auto" w:fill="FFFFFF" w:themeFill="background1"/>
          </w:tcPr>
          <w:p w14:paraId="03A86B8B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:rsidRPr="00595AB3" w14:paraId="54C3738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7CBC0395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573" w:type="pct"/>
            <w:shd w:val="clear" w:color="auto" w:fill="FFFFFF" w:themeFill="background1"/>
          </w:tcPr>
          <w:p w14:paraId="53E25AD9" w14:textId="0F9BC18A" w:rsidR="000A090D" w:rsidRPr="000A090D" w:rsidRDefault="000A090D" w:rsidP="000A090D">
            <w:pPr>
              <w:spacing w:before="120" w:after="80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Sicherstellen, dass eine funktionierende Kommunikation zwischen allen Beteiligten gewährleistet ist und eine ausreichende Verständigung über den Ablauf des Hebevorgangs erfolgt</w:t>
            </w:r>
          </w:p>
        </w:tc>
        <w:tc>
          <w:tcPr>
            <w:tcW w:w="1078" w:type="pct"/>
            <w:shd w:val="clear" w:color="auto" w:fill="FFFFFF" w:themeFill="background1"/>
          </w:tcPr>
          <w:p w14:paraId="2DC40A14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55DEB479" w14:textId="77777777" w:rsidTr="002B3D3C">
        <w:trPr>
          <w:trHeight w:val="266"/>
        </w:trPr>
        <w:tc>
          <w:tcPr>
            <w:tcW w:w="349" w:type="pct"/>
            <w:shd w:val="clear" w:color="auto" w:fill="FFFFFF" w:themeFill="background1"/>
          </w:tcPr>
          <w:p w14:paraId="6934398A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3573" w:type="pct"/>
            <w:shd w:val="clear" w:color="auto" w:fill="FFFFFF" w:themeFill="background1"/>
          </w:tcPr>
          <w:p w14:paraId="13905D1E" w14:textId="655C8EA4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Deutlich machen, das sicheres Verhalten wichtig ist und Fehlverhalten ansprechen</w:t>
            </w:r>
          </w:p>
        </w:tc>
        <w:tc>
          <w:tcPr>
            <w:tcW w:w="1078" w:type="pct"/>
            <w:shd w:val="clear" w:color="auto" w:fill="FFFFFF" w:themeFill="background1"/>
          </w:tcPr>
          <w:p w14:paraId="245116A6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1E5ACCD8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5BBE5B73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926C7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3573" w:type="pct"/>
            <w:shd w:val="clear" w:color="auto" w:fill="FFFFFF" w:themeFill="background1"/>
          </w:tcPr>
          <w:p w14:paraId="64476263" w14:textId="2AD91CAB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Sicherstellen, dass die höchstzulässige Nutzlast (SWL Safe Working Load) eines Hebezeuges und der Anschlagmittel niemals überschritten wird</w:t>
            </w:r>
          </w:p>
        </w:tc>
        <w:tc>
          <w:tcPr>
            <w:tcW w:w="1078" w:type="pct"/>
            <w:shd w:val="clear" w:color="auto" w:fill="FFFFFF" w:themeFill="background1"/>
          </w:tcPr>
          <w:p w14:paraId="21964ED4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23B8668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41A5EAF" w14:textId="74424BF1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3573" w:type="pct"/>
            <w:shd w:val="clear" w:color="auto" w:fill="FFFFFF" w:themeFill="background1"/>
          </w:tcPr>
          <w:p w14:paraId="42AF4B9F" w14:textId="3DAD0312" w:rsidR="000A090D" w:rsidRPr="000A090D" w:rsidRDefault="000A090D" w:rsidP="00CA6B68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Umgebungsbedingungen wie Wetter, Seegang ständig b</w:t>
            </w:r>
            <w:r w:rsidR="00CA6B68">
              <w:rPr>
                <w:sz w:val="20"/>
                <w:szCs w:val="20"/>
              </w:rPr>
              <w:t>eobachten und darauf reagieren</w:t>
            </w:r>
          </w:p>
        </w:tc>
        <w:tc>
          <w:tcPr>
            <w:tcW w:w="1078" w:type="pct"/>
            <w:shd w:val="clear" w:color="auto" w:fill="FFFFFF" w:themeFill="background1"/>
          </w:tcPr>
          <w:p w14:paraId="59F4E9C1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1660C6D7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35835FFF" w14:textId="75AAF4AC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3573" w:type="pct"/>
            <w:shd w:val="clear" w:color="auto" w:fill="FFFFFF" w:themeFill="background1"/>
          </w:tcPr>
          <w:p w14:paraId="0C067A01" w14:textId="76A215A8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Die Besatzungsmitglieder durch Unterweisung und Hinweisschilder auf besondere Gefahrenbereiche hinweisen und den Aufenthalt dort beschränken, z.B. unter schwebenden Lasten</w:t>
            </w:r>
          </w:p>
        </w:tc>
        <w:tc>
          <w:tcPr>
            <w:tcW w:w="1078" w:type="pct"/>
            <w:shd w:val="clear" w:color="auto" w:fill="FFFFFF" w:themeFill="background1"/>
          </w:tcPr>
          <w:p w14:paraId="6F832CF6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0758F3A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376A6F4" w14:textId="1176461D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3573" w:type="pct"/>
            <w:shd w:val="clear" w:color="auto" w:fill="FFFFFF" w:themeFill="background1"/>
          </w:tcPr>
          <w:p w14:paraId="29EFD45B" w14:textId="4325D25B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Dafür sorgen, dass in einer Betriebsanweisung festgelegt ist, wie bei Anschlagen von Lasten ein sicheres Arbeitsverfahren gewährleistet ist</w:t>
            </w:r>
          </w:p>
        </w:tc>
        <w:tc>
          <w:tcPr>
            <w:tcW w:w="1078" w:type="pct"/>
            <w:shd w:val="clear" w:color="auto" w:fill="FFFFFF" w:themeFill="background1"/>
          </w:tcPr>
          <w:p w14:paraId="70B26852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0EE0E0B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4791663" w14:textId="00798D17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573" w:type="pct"/>
            <w:shd w:val="clear" w:color="auto" w:fill="FFFFFF" w:themeFill="background1"/>
          </w:tcPr>
          <w:p w14:paraId="745CA4E2" w14:textId="3DD9E68E" w:rsidR="000A090D" w:rsidRPr="000A090D" w:rsidRDefault="00CA6B68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>Sicherstellen</w:t>
            </w:r>
            <w:r w:rsidR="000A090D" w:rsidRPr="000A090D">
              <w:rPr>
                <w:sz w:val="20"/>
                <w:szCs w:val="20"/>
              </w:rPr>
              <w:t>, dass nur ausreichend qualifiziertes und unterwiesenes Personal eingesetzt wird</w:t>
            </w:r>
          </w:p>
        </w:tc>
        <w:tc>
          <w:tcPr>
            <w:tcW w:w="1078" w:type="pct"/>
            <w:shd w:val="clear" w:color="auto" w:fill="FFFFFF" w:themeFill="background1"/>
          </w:tcPr>
          <w:p w14:paraId="212E78E6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23E3E951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03BDC0F8" w14:textId="798D84E9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3573" w:type="pct"/>
            <w:shd w:val="clear" w:color="auto" w:fill="FFFFFF" w:themeFill="background1"/>
          </w:tcPr>
          <w:p w14:paraId="21A090AF" w14:textId="33B045B6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Festlegung der geeigneten Anschlagmittel und Anschlagpunkte von verantwortlichem Offizier</w:t>
            </w:r>
          </w:p>
        </w:tc>
        <w:tc>
          <w:tcPr>
            <w:tcW w:w="1078" w:type="pct"/>
            <w:shd w:val="clear" w:color="auto" w:fill="FFFFFF" w:themeFill="background1"/>
          </w:tcPr>
          <w:p w14:paraId="27DB51F5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5DEDE0F2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CEB96D5" w14:textId="040B2700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3573" w:type="pct"/>
            <w:shd w:val="clear" w:color="auto" w:fill="FFFFFF" w:themeFill="background1"/>
          </w:tcPr>
          <w:p w14:paraId="75066F03" w14:textId="0C6F31B5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Schwerpunktlage beachten, um Pendelbewegungen oder Umschlagen zu vermeiden</w:t>
            </w:r>
          </w:p>
        </w:tc>
        <w:tc>
          <w:tcPr>
            <w:tcW w:w="1078" w:type="pct"/>
            <w:shd w:val="clear" w:color="auto" w:fill="FFFFFF" w:themeFill="background1"/>
          </w:tcPr>
          <w:p w14:paraId="12DDB177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7BCEBEE9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49ACFAD8" w14:textId="709B45BD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3573" w:type="pct"/>
            <w:shd w:val="clear" w:color="auto" w:fill="FFFFFF" w:themeFill="background1"/>
          </w:tcPr>
          <w:p w14:paraId="0C200165" w14:textId="588279D2" w:rsidR="000A090D" w:rsidRPr="000A090D" w:rsidRDefault="00CA6B68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>V</w:t>
            </w:r>
            <w:r w:rsidR="000A090D" w:rsidRPr="000A090D">
              <w:rPr>
                <w:sz w:val="20"/>
                <w:szCs w:val="20"/>
              </w:rPr>
              <w:t>or Beginn der Arbeiten: Sicht- und Funktionskontrolle des Hebezeuges sowie der Befehlseinrichtungen</w:t>
            </w:r>
          </w:p>
        </w:tc>
        <w:tc>
          <w:tcPr>
            <w:tcW w:w="1078" w:type="pct"/>
            <w:shd w:val="clear" w:color="auto" w:fill="FFFFFF" w:themeFill="background1"/>
          </w:tcPr>
          <w:p w14:paraId="42E239C3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111AE7F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7AC46CC4" w14:textId="09392B0C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3573" w:type="pct"/>
            <w:shd w:val="clear" w:color="auto" w:fill="FFFFFF" w:themeFill="background1"/>
          </w:tcPr>
          <w:p w14:paraId="5C8D9F27" w14:textId="0878A0C7" w:rsidR="000A090D" w:rsidRPr="000A090D" w:rsidRDefault="00CA6B68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</w:rPr>
              <w:t>G</w:t>
            </w:r>
            <w:r w:rsidR="000A090D" w:rsidRPr="000A090D">
              <w:rPr>
                <w:sz w:val="20"/>
                <w:szCs w:val="20"/>
              </w:rPr>
              <w:t xml:space="preserve">eeignete PSA bereitstellen und für dessen Benutzung sorgen, </w:t>
            </w:r>
            <w:r w:rsidR="00356922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="000A090D" w:rsidRPr="00CA6B68">
              <w:rPr>
                <w:b/>
                <w:sz w:val="20"/>
                <w:szCs w:val="20"/>
              </w:rPr>
              <w:t>siehe PSA-Matrix</w:t>
            </w:r>
          </w:p>
        </w:tc>
        <w:tc>
          <w:tcPr>
            <w:tcW w:w="1078" w:type="pct"/>
            <w:shd w:val="clear" w:color="auto" w:fill="FFFFFF" w:themeFill="background1"/>
          </w:tcPr>
          <w:p w14:paraId="401F7010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5D2ED296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E100FE5" w14:textId="136D207C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573" w:type="pct"/>
            <w:shd w:val="clear" w:color="auto" w:fill="FFFFFF" w:themeFill="background1"/>
          </w:tcPr>
          <w:p w14:paraId="693E780A" w14:textId="6982BA69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Durch Aufklaren, Verstauen und umsichtiges Arbeiten dafür sorgen, dass Stolper- und Sturzstellen vermieden werden</w:t>
            </w:r>
          </w:p>
        </w:tc>
        <w:tc>
          <w:tcPr>
            <w:tcW w:w="1078" w:type="pct"/>
            <w:shd w:val="clear" w:color="auto" w:fill="FFFFFF" w:themeFill="background1"/>
          </w:tcPr>
          <w:p w14:paraId="1C900C26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4B9B8460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2995CDF4" w14:textId="67133EDA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lastRenderedPageBreak/>
              <w:t>15</w:t>
            </w:r>
          </w:p>
        </w:tc>
        <w:tc>
          <w:tcPr>
            <w:tcW w:w="3573" w:type="pct"/>
            <w:shd w:val="clear" w:color="auto" w:fill="FFFFFF" w:themeFill="background1"/>
          </w:tcPr>
          <w:p w14:paraId="730AD3D1" w14:textId="57364368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Lasten nicht in Verkehrswegen absetzen/positionieren</w:t>
            </w:r>
          </w:p>
        </w:tc>
        <w:tc>
          <w:tcPr>
            <w:tcW w:w="1078" w:type="pct"/>
            <w:shd w:val="clear" w:color="auto" w:fill="FFFFFF" w:themeFill="background1"/>
          </w:tcPr>
          <w:p w14:paraId="016CF264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0A090D" w14:paraId="19DD0152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339701A1" w14:textId="2C6D0F6E" w:rsid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3573" w:type="pct"/>
            <w:shd w:val="clear" w:color="auto" w:fill="FFFFFF" w:themeFill="background1"/>
          </w:tcPr>
          <w:p w14:paraId="432641C0" w14:textId="57C4D0E2" w:rsidR="000A090D" w:rsidRPr="000A090D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A090D">
              <w:rPr>
                <w:sz w:val="20"/>
                <w:szCs w:val="20"/>
              </w:rPr>
              <w:t>Sicherstellen, dass eine ausreichende und blendfreie Beleuchtung vorhanden ist</w:t>
            </w:r>
          </w:p>
        </w:tc>
        <w:tc>
          <w:tcPr>
            <w:tcW w:w="1078" w:type="pct"/>
            <w:shd w:val="clear" w:color="auto" w:fill="FFFFFF" w:themeFill="background1"/>
          </w:tcPr>
          <w:p w14:paraId="2DB5286F" w14:textId="77777777" w:rsidR="000A090D" w:rsidRPr="00926C74" w:rsidRDefault="000A090D" w:rsidP="000A090D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56FE5" w14:paraId="4A3F7A6C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B6A9C97" w14:textId="77777777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73" w:type="pct"/>
            <w:shd w:val="clear" w:color="auto" w:fill="FFFFFF" w:themeFill="background1"/>
          </w:tcPr>
          <w:p w14:paraId="6406192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58FF03BE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56FE5" w14:paraId="224EE9F5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3E1E985" w14:textId="77777777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73" w:type="pct"/>
            <w:shd w:val="clear" w:color="auto" w:fill="FFFFFF" w:themeFill="background1"/>
          </w:tcPr>
          <w:p w14:paraId="5CC85148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0BE31951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C56FE5" w14:paraId="5DCFBA3A" w14:textId="77777777" w:rsidTr="002B3D3C">
        <w:trPr>
          <w:trHeight w:val="249"/>
        </w:trPr>
        <w:tc>
          <w:tcPr>
            <w:tcW w:w="349" w:type="pct"/>
            <w:shd w:val="clear" w:color="auto" w:fill="FFFFFF" w:themeFill="background1"/>
          </w:tcPr>
          <w:p w14:paraId="1E88D57C" w14:textId="77777777" w:rsidR="00C56FE5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573" w:type="pct"/>
            <w:shd w:val="clear" w:color="auto" w:fill="FFFFFF" w:themeFill="background1"/>
          </w:tcPr>
          <w:p w14:paraId="0272C6E6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78" w:type="pct"/>
            <w:shd w:val="clear" w:color="auto" w:fill="FFFFFF" w:themeFill="background1"/>
          </w:tcPr>
          <w:p w14:paraId="084518A9" w14:textId="77777777" w:rsidR="00C56FE5" w:rsidRPr="00926C74" w:rsidRDefault="00C56FE5" w:rsidP="00C70693">
            <w:pPr>
              <w:spacing w:before="120" w:after="80"/>
              <w:ind w:left="35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</w:tbl>
    <w:p w14:paraId="619E6F28" w14:textId="77777777" w:rsidR="00C45B76" w:rsidRPr="00A23973" w:rsidRDefault="00C45B76" w:rsidP="00E805FF">
      <w:pPr>
        <w:pStyle w:val="berschrift2"/>
        <w:rPr>
          <w:rFonts w:ascii="Arial" w:hAnsi="Arial" w:cs="Times New Roman"/>
          <w:b w:val="0"/>
          <w:sz w:val="20"/>
        </w:rPr>
      </w:pPr>
    </w:p>
    <w:sectPr w:rsidR="00C45B76" w:rsidRPr="00A23973" w:rsidSect="003322A9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6AE7A" w14:textId="77777777" w:rsidR="00A23973" w:rsidRDefault="00A23973" w:rsidP="00A23973">
      <w:pPr>
        <w:spacing w:after="0" w:line="240" w:lineRule="auto"/>
      </w:pPr>
      <w:r>
        <w:separator/>
      </w:r>
    </w:p>
  </w:endnote>
  <w:endnote w:type="continuationSeparator" w:id="0">
    <w:p w14:paraId="0197DAEA" w14:textId="77777777" w:rsidR="00A23973" w:rsidRDefault="00A23973" w:rsidP="00A2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98787" w14:textId="77777777" w:rsidR="00F60933" w:rsidRDefault="00F609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979A" w14:textId="77777777" w:rsidR="000C764E" w:rsidRDefault="000C764E" w:rsidP="000C764E">
    <w:pPr>
      <w:pStyle w:val="Fuzeile"/>
      <w:rPr>
        <w:bCs/>
        <w:sz w:val="18"/>
        <w:szCs w:val="18"/>
      </w:rPr>
    </w:pPr>
  </w:p>
  <w:p w14:paraId="265C9F11" w14:textId="77777777" w:rsidR="000C764E" w:rsidRDefault="000C764E" w:rsidP="000C764E">
    <w:pPr>
      <w:pStyle w:val="Fuzeile"/>
      <w:rPr>
        <w:bCs/>
        <w:sz w:val="18"/>
        <w:szCs w:val="18"/>
      </w:rPr>
    </w:pPr>
  </w:p>
  <w:p w14:paraId="49A261F9" w14:textId="77777777" w:rsidR="000C764E" w:rsidRDefault="000C764E" w:rsidP="000C764E">
    <w:pPr>
      <w:pStyle w:val="Fuzeile"/>
      <w:rPr>
        <w:bCs/>
        <w:sz w:val="18"/>
        <w:szCs w:val="18"/>
      </w:rPr>
    </w:pPr>
  </w:p>
  <w:p w14:paraId="2D83777E" w14:textId="0D2EA95F" w:rsidR="003322A9" w:rsidRPr="000C764E" w:rsidRDefault="000C764E" w:rsidP="000C764E">
    <w:pPr>
      <w:pStyle w:val="Fuzeile"/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35692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35692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7971" w14:textId="77777777" w:rsidR="003322A9" w:rsidRDefault="003322A9" w:rsidP="003322A9">
    <w:pPr>
      <w:pStyle w:val="Fuzeile"/>
      <w:rPr>
        <w:sz w:val="18"/>
        <w:szCs w:val="18"/>
      </w:rPr>
    </w:pPr>
  </w:p>
  <w:p w14:paraId="78D9B20C" w14:textId="77777777" w:rsidR="003322A9" w:rsidRPr="00E22176" w:rsidRDefault="003322A9" w:rsidP="003322A9">
    <w:pPr>
      <w:pStyle w:val="Fuzeile"/>
      <w:rPr>
        <w:sz w:val="18"/>
        <w:szCs w:val="18"/>
      </w:rPr>
    </w:pPr>
    <w:r w:rsidRPr="00E22176">
      <w:rPr>
        <w:sz w:val="18"/>
        <w:szCs w:val="18"/>
      </w:rPr>
      <w:t>Diese Mustergefährdungsbeurteilung ist eine Handlungshilfe zur wirksamen Organisation des Arbeitsschutzes. Sie muss im Betrieb eigenverantwortlich angepasst werden.</w:t>
    </w:r>
  </w:p>
  <w:p w14:paraId="529079EF" w14:textId="77777777" w:rsidR="003322A9" w:rsidRPr="00E22176" w:rsidRDefault="003322A9" w:rsidP="003322A9">
    <w:pPr>
      <w:pStyle w:val="Fuzeile"/>
      <w:rPr>
        <w:sz w:val="18"/>
        <w:szCs w:val="18"/>
      </w:rPr>
    </w:pPr>
  </w:p>
  <w:p w14:paraId="789A9103" w14:textId="3E5A330B" w:rsidR="003322A9" w:rsidRPr="004C2F31" w:rsidRDefault="000C764E" w:rsidP="000C764E">
    <w:pPr>
      <w:pStyle w:val="Fuzeile"/>
      <w:rPr>
        <w:sz w:val="20"/>
        <w:szCs w:val="20"/>
      </w:rPr>
    </w:pPr>
    <w:r>
      <w:rPr>
        <w:sz w:val="18"/>
        <w:szCs w:val="18"/>
      </w:rPr>
      <w:t xml:space="preserve">Version: </w:t>
    </w:r>
    <w:r w:rsidR="00F60933">
      <w:rPr>
        <w:sz w:val="18"/>
        <w:szCs w:val="18"/>
      </w:rPr>
      <w:t>04</w:t>
    </w:r>
    <w:r>
      <w:rPr>
        <w:sz w:val="18"/>
        <w:szCs w:val="18"/>
      </w:rPr>
      <w:t>/</w:t>
    </w:r>
    <w:r w:rsidR="003322A9" w:rsidRPr="00E22176">
      <w:rPr>
        <w:sz w:val="18"/>
        <w:szCs w:val="18"/>
      </w:rPr>
      <w:t>20</w:t>
    </w:r>
    <w:r w:rsidR="00F60933">
      <w:rPr>
        <w:sz w:val="18"/>
        <w:szCs w:val="18"/>
      </w:rPr>
      <w:t>22</w:t>
    </w:r>
    <w:r w:rsidR="003322A9" w:rsidRPr="00E22176">
      <w:rPr>
        <w:sz w:val="18"/>
        <w:szCs w:val="18"/>
      </w:rPr>
      <w:t xml:space="preserve"> (BG Verkehr)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356922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356922">
      <w:rPr>
        <w:bCs/>
        <w:noProof/>
        <w:sz w:val="18"/>
        <w:szCs w:val="18"/>
      </w:rPr>
      <w:t>2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886F" w14:textId="77777777" w:rsidR="00A23973" w:rsidRDefault="00A23973" w:rsidP="00A23973">
      <w:pPr>
        <w:spacing w:after="0" w:line="240" w:lineRule="auto"/>
      </w:pPr>
      <w:r>
        <w:separator/>
      </w:r>
    </w:p>
  </w:footnote>
  <w:footnote w:type="continuationSeparator" w:id="0">
    <w:p w14:paraId="690EF11E" w14:textId="77777777" w:rsidR="00A23973" w:rsidRDefault="00A23973" w:rsidP="00A2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BAD2E" w14:textId="77777777" w:rsidR="00F60933" w:rsidRDefault="00F609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BEF0E" w14:textId="77777777" w:rsidR="00F60933" w:rsidRDefault="00F609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7487" w14:textId="77777777" w:rsidR="00F60933" w:rsidRDefault="00F609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E8B"/>
    <w:multiLevelType w:val="multilevel"/>
    <w:tmpl w:val="834EB0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141"/>
    <w:multiLevelType w:val="hybridMultilevel"/>
    <w:tmpl w:val="548E33B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A647E"/>
    <w:multiLevelType w:val="hybridMultilevel"/>
    <w:tmpl w:val="F1F25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27A5"/>
    <w:multiLevelType w:val="hybridMultilevel"/>
    <w:tmpl w:val="3892C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2756"/>
    <w:multiLevelType w:val="hybridMultilevel"/>
    <w:tmpl w:val="C3402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CF"/>
    <w:rsid w:val="00006641"/>
    <w:rsid w:val="0002713F"/>
    <w:rsid w:val="00037DD1"/>
    <w:rsid w:val="000543DA"/>
    <w:rsid w:val="0005606B"/>
    <w:rsid w:val="000A090D"/>
    <w:rsid w:val="000C764E"/>
    <w:rsid w:val="00182A03"/>
    <w:rsid w:val="001A3520"/>
    <w:rsid w:val="00217770"/>
    <w:rsid w:val="002718B9"/>
    <w:rsid w:val="002B3D3C"/>
    <w:rsid w:val="002F74C3"/>
    <w:rsid w:val="003322A9"/>
    <w:rsid w:val="003519B9"/>
    <w:rsid w:val="00356922"/>
    <w:rsid w:val="0036412E"/>
    <w:rsid w:val="004C2F31"/>
    <w:rsid w:val="0051177D"/>
    <w:rsid w:val="00596B6A"/>
    <w:rsid w:val="005F3075"/>
    <w:rsid w:val="00633DB1"/>
    <w:rsid w:val="006A53BA"/>
    <w:rsid w:val="006E70C7"/>
    <w:rsid w:val="007265A2"/>
    <w:rsid w:val="00926C74"/>
    <w:rsid w:val="00996922"/>
    <w:rsid w:val="009B746D"/>
    <w:rsid w:val="00A15FE2"/>
    <w:rsid w:val="00A23973"/>
    <w:rsid w:val="00B72477"/>
    <w:rsid w:val="00BD109D"/>
    <w:rsid w:val="00C37B97"/>
    <w:rsid w:val="00C45B76"/>
    <w:rsid w:val="00C56FE5"/>
    <w:rsid w:val="00C70693"/>
    <w:rsid w:val="00CA6B68"/>
    <w:rsid w:val="00CC5C0F"/>
    <w:rsid w:val="00CE262D"/>
    <w:rsid w:val="00D07ACF"/>
    <w:rsid w:val="00D40155"/>
    <w:rsid w:val="00D77231"/>
    <w:rsid w:val="00DB13D7"/>
    <w:rsid w:val="00DB37C1"/>
    <w:rsid w:val="00DD6C48"/>
    <w:rsid w:val="00E37837"/>
    <w:rsid w:val="00E61E41"/>
    <w:rsid w:val="00E805FF"/>
    <w:rsid w:val="00F01AE2"/>
    <w:rsid w:val="00F34C6B"/>
    <w:rsid w:val="00F40FCE"/>
    <w:rsid w:val="00F43637"/>
    <w:rsid w:val="00F60933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5FFCD27"/>
  <w15:chartTrackingRefBased/>
  <w15:docId w15:val="{30206829-B11E-490B-A972-D57D3458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7ACF"/>
    <w:rPr>
      <w:rFonts w:asciiTheme="minorHAnsi" w:hAnsiTheme="minorHAnsi" w:cstheme="minorBidi"/>
    </w:r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spacing w:before="240" w:after="120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0543DA"/>
    <w:pPr>
      <w:keepNext/>
      <w:tabs>
        <w:tab w:val="left" w:pos="993"/>
      </w:tabs>
      <w:spacing w:before="240" w:after="120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spacing w:before="240" w:after="120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tabs>
        <w:tab w:val="left" w:pos="1077"/>
      </w:tabs>
      <w:spacing w:before="240" w:after="120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0543DA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D07ACF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D07ACF"/>
    <w:rPr>
      <w:rFonts w:asciiTheme="minorHAnsi" w:hAnsiTheme="minorHAnsi" w:cstheme="minorBidi"/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73"/>
    <w:rPr>
      <w:rFonts w:ascii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rsid w:val="00A23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973"/>
    <w:rPr>
      <w:rFonts w:asciiTheme="minorHAnsi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A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A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AE2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A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AE2"/>
    <w:rPr>
      <w:rFonts w:asciiTheme="minorHAnsi" w:hAnsiTheme="minorHAnsi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Arbeitsblatt: Schutzmaßnahmen</vt:lpstr>
    </vt:vector>
  </TitlesOfParts>
  <Company>BG Verkehr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Schutzmaßnahmen</dc:title>
  <dc:subject/>
  <dc:creator>Hoffmann, Ulrike</dc:creator>
  <cp:keywords/>
  <dc:description/>
  <cp:lastModifiedBy>Hoffmann, Ulrike</cp:lastModifiedBy>
  <cp:revision>5</cp:revision>
  <dcterms:created xsi:type="dcterms:W3CDTF">2022-04-11T10:39:00Z</dcterms:created>
  <dcterms:modified xsi:type="dcterms:W3CDTF">2022-04-29T08:25:00Z</dcterms:modified>
</cp:coreProperties>
</file>