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347DD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347DD1">
              <w:rPr>
                <w:i/>
                <w:sz w:val="20"/>
                <w:szCs w:val="20"/>
              </w:rPr>
              <w:t>Seeschifffahrt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19778DD2" w:rsidR="0085077D" w:rsidRPr="00347DD1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347DD1">
              <w:rPr>
                <w:i/>
                <w:sz w:val="20"/>
                <w:szCs w:val="20"/>
              </w:rPr>
              <w:t>Maschine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A0CBA5B" w:rsidR="0085077D" w:rsidRPr="00347DD1" w:rsidRDefault="002C0FC9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347DD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Instandhaltung elektrischer Systeme</w:t>
            </w:r>
            <w:bookmarkEnd w:id="0"/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D847FEE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E9234F" w:rsidRPr="00E9234F">
          <w:rPr>
            <w:rStyle w:val="Hyperlink"/>
            <w:b w:val="0"/>
            <w:sz w:val="20"/>
          </w:rPr>
          <w:t>D 3</w:t>
        </w:r>
      </w:hyperlink>
      <w:r w:rsidRPr="00D07ACF">
        <w:rPr>
          <w:b w:val="0"/>
          <w:sz w:val="20"/>
        </w:rPr>
        <w:t>)</w:t>
      </w:r>
    </w:p>
    <w:p w14:paraId="3E1004F5" w14:textId="77777777" w:rsidR="00EF4F19" w:rsidRDefault="00EF4F19" w:rsidP="00EF4F19">
      <w:pPr>
        <w:pStyle w:val="Az2zu2"/>
        <w:rPr>
          <w:sz w:val="20"/>
          <w:szCs w:val="20"/>
        </w:rPr>
      </w:pPr>
      <w:r w:rsidRPr="00EF4F19">
        <w:rPr>
          <w:sz w:val="20"/>
          <w:szCs w:val="20"/>
        </w:rPr>
        <w:t>Gefahren bei der Arbeit, insbesondere über</w:t>
      </w:r>
      <w:r>
        <w:rPr>
          <w:sz w:val="20"/>
          <w:szCs w:val="20"/>
        </w:rPr>
        <w:t xml:space="preserve"> </w:t>
      </w:r>
      <w:r w:rsidRPr="00EF4F19">
        <w:rPr>
          <w:sz w:val="20"/>
          <w:szCs w:val="20"/>
        </w:rPr>
        <w:t xml:space="preserve">die Gefährdung durch elektrischen Strom </w:t>
      </w:r>
    </w:p>
    <w:p w14:paraId="3E95A4D6" w14:textId="23BFA86F" w:rsidR="00892BB9" w:rsidRPr="00EF4F19" w:rsidRDefault="0000403C" w:rsidP="0000403C">
      <w:pPr>
        <w:pStyle w:val="Az2zu2"/>
        <w:rPr>
          <w:sz w:val="20"/>
          <w:szCs w:val="20"/>
        </w:rPr>
      </w:pPr>
      <w:r w:rsidRPr="0000403C">
        <w:rPr>
          <w:sz w:val="20"/>
          <w:szCs w:val="20"/>
        </w:rPr>
        <w:t xml:space="preserve">Eine Anlage gilt </w:t>
      </w:r>
      <w:r>
        <w:rPr>
          <w:sz w:val="20"/>
          <w:szCs w:val="20"/>
        </w:rPr>
        <w:t>erst dann</w:t>
      </w:r>
      <w:r w:rsidRPr="0000403C">
        <w:rPr>
          <w:sz w:val="20"/>
          <w:szCs w:val="20"/>
        </w:rPr>
        <w:t xml:space="preserve"> als freigeschaltet, wenn die verantwortliche Elektrofachkraft die Anlage </w:t>
      </w:r>
      <w:r>
        <w:rPr>
          <w:sz w:val="20"/>
          <w:szCs w:val="20"/>
        </w:rPr>
        <w:t xml:space="preserve">ausdrücklich </w:t>
      </w:r>
      <w:r w:rsidRPr="0000403C">
        <w:rPr>
          <w:sz w:val="20"/>
          <w:szCs w:val="20"/>
        </w:rPr>
        <w:t xml:space="preserve">als freigeschaltet </w:t>
      </w:r>
      <w:r>
        <w:rPr>
          <w:sz w:val="20"/>
          <w:szCs w:val="20"/>
        </w:rPr>
        <w:t>freigibt</w:t>
      </w:r>
      <w:r w:rsidR="008C4E69" w:rsidRPr="00EF4F1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7EBED11" w14:textId="03886C55" w:rsidR="00B72A2A" w:rsidRDefault="00B72A2A" w:rsidP="00B72A2A">
      <w:pPr>
        <w:pStyle w:val="Az2zu2"/>
        <w:rPr>
          <w:bCs/>
          <w:sz w:val="20"/>
          <w:szCs w:val="20"/>
        </w:rPr>
      </w:pPr>
      <w:r>
        <w:rPr>
          <w:sz w:val="20"/>
          <w:szCs w:val="20"/>
        </w:rPr>
        <w:t xml:space="preserve">Vor </w:t>
      </w:r>
      <w:r w:rsidRPr="00B72A2A">
        <w:rPr>
          <w:sz w:val="20"/>
          <w:szCs w:val="20"/>
        </w:rPr>
        <w:t xml:space="preserve">Beginn </w:t>
      </w:r>
      <w:r w:rsidRPr="00B72A2A">
        <w:rPr>
          <w:bCs/>
          <w:sz w:val="20"/>
          <w:szCs w:val="20"/>
        </w:rPr>
        <w:t>al</w:t>
      </w:r>
      <w:r>
        <w:rPr>
          <w:bCs/>
          <w:sz w:val="20"/>
          <w:szCs w:val="20"/>
        </w:rPr>
        <w:t xml:space="preserve">ler Arbeiten ist das Herstellen </w:t>
      </w:r>
      <w:r w:rsidRPr="00B72A2A">
        <w:rPr>
          <w:bCs/>
          <w:sz w:val="20"/>
          <w:szCs w:val="20"/>
        </w:rPr>
        <w:t>und Si</w:t>
      </w:r>
      <w:r>
        <w:rPr>
          <w:bCs/>
          <w:sz w:val="20"/>
          <w:szCs w:val="20"/>
        </w:rPr>
        <w:t xml:space="preserve">cherstellen des spannungsfreien </w:t>
      </w:r>
      <w:r w:rsidRPr="00B72A2A">
        <w:rPr>
          <w:bCs/>
          <w:sz w:val="20"/>
          <w:szCs w:val="20"/>
        </w:rPr>
        <w:t>Zustande</w:t>
      </w:r>
      <w:r>
        <w:rPr>
          <w:bCs/>
          <w:sz w:val="20"/>
          <w:szCs w:val="20"/>
        </w:rPr>
        <w:t xml:space="preserve">s der </w:t>
      </w:r>
      <w:r w:rsidR="0000403C">
        <w:rPr>
          <w:bCs/>
          <w:sz w:val="20"/>
          <w:szCs w:val="20"/>
        </w:rPr>
        <w:t>instandzusetzenden</w:t>
      </w:r>
      <w:r>
        <w:rPr>
          <w:bCs/>
          <w:sz w:val="20"/>
          <w:szCs w:val="20"/>
        </w:rPr>
        <w:t xml:space="preserve"> Anlage unbedingt zu gewährleisten. </w:t>
      </w:r>
      <w:r w:rsidRPr="00B72A2A">
        <w:rPr>
          <w:bCs/>
          <w:sz w:val="20"/>
          <w:szCs w:val="20"/>
        </w:rPr>
        <w:t>Dabei sind die fünf Sicherheitsregeln einzuhalten:</w:t>
      </w:r>
    </w:p>
    <w:p w14:paraId="20F26338" w14:textId="3956747A" w:rsidR="00B72A2A" w:rsidRPr="00B72A2A" w:rsidRDefault="00B72A2A" w:rsidP="00347DD1">
      <w:pPr>
        <w:pStyle w:val="Az2zu2"/>
        <w:numPr>
          <w:ilvl w:val="1"/>
          <w:numId w:val="16"/>
        </w:numPr>
        <w:ind w:left="754" w:hanging="357"/>
        <w:rPr>
          <w:bCs/>
          <w:sz w:val="20"/>
          <w:szCs w:val="20"/>
        </w:rPr>
      </w:pPr>
      <w:r w:rsidRPr="00B72A2A">
        <w:rPr>
          <w:bCs/>
          <w:sz w:val="20"/>
          <w:szCs w:val="20"/>
        </w:rPr>
        <w:t>Freischalten</w:t>
      </w:r>
      <w:r w:rsidR="00347DD1">
        <w:rPr>
          <w:bCs/>
          <w:sz w:val="20"/>
          <w:szCs w:val="20"/>
        </w:rPr>
        <w:t>.</w:t>
      </w:r>
    </w:p>
    <w:p w14:paraId="0DD51E1C" w14:textId="2B463A83" w:rsidR="00B72A2A" w:rsidRPr="00B72A2A" w:rsidRDefault="00B72A2A" w:rsidP="00347DD1">
      <w:pPr>
        <w:pStyle w:val="Az2zu2"/>
        <w:numPr>
          <w:ilvl w:val="1"/>
          <w:numId w:val="16"/>
        </w:numPr>
        <w:ind w:left="754" w:hanging="357"/>
        <w:rPr>
          <w:bCs/>
          <w:sz w:val="20"/>
          <w:szCs w:val="20"/>
        </w:rPr>
      </w:pPr>
      <w:r w:rsidRPr="00B72A2A">
        <w:rPr>
          <w:bCs/>
          <w:sz w:val="20"/>
          <w:szCs w:val="20"/>
        </w:rPr>
        <w:t>Gegen Wiedereinschalten sichern</w:t>
      </w:r>
      <w:r w:rsidR="00347DD1">
        <w:rPr>
          <w:bCs/>
          <w:sz w:val="20"/>
          <w:szCs w:val="20"/>
        </w:rPr>
        <w:t>.</w:t>
      </w:r>
    </w:p>
    <w:p w14:paraId="43F0C594" w14:textId="34030EFC" w:rsidR="00B72A2A" w:rsidRPr="00B72A2A" w:rsidRDefault="00B72A2A" w:rsidP="00347DD1">
      <w:pPr>
        <w:pStyle w:val="Az2zu2"/>
        <w:numPr>
          <w:ilvl w:val="1"/>
          <w:numId w:val="16"/>
        </w:numPr>
        <w:ind w:left="754" w:hanging="357"/>
        <w:rPr>
          <w:bCs/>
          <w:sz w:val="20"/>
          <w:szCs w:val="20"/>
        </w:rPr>
      </w:pPr>
      <w:r w:rsidRPr="00B72A2A">
        <w:rPr>
          <w:bCs/>
          <w:sz w:val="20"/>
          <w:szCs w:val="20"/>
        </w:rPr>
        <w:t>Spannungsfreiheit feststellen</w:t>
      </w:r>
      <w:r w:rsidR="00347DD1">
        <w:rPr>
          <w:bCs/>
          <w:sz w:val="20"/>
          <w:szCs w:val="20"/>
        </w:rPr>
        <w:t>.</w:t>
      </w:r>
    </w:p>
    <w:p w14:paraId="06D89B75" w14:textId="58B6612E" w:rsidR="00B72A2A" w:rsidRPr="00B72A2A" w:rsidRDefault="00347DD1" w:rsidP="00347DD1">
      <w:pPr>
        <w:pStyle w:val="Az2zu2"/>
        <w:numPr>
          <w:ilvl w:val="1"/>
          <w:numId w:val="16"/>
        </w:numPr>
        <w:ind w:left="754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>Erden und k</w:t>
      </w:r>
      <w:r w:rsidR="00B72A2A" w:rsidRPr="00B72A2A">
        <w:rPr>
          <w:bCs/>
          <w:sz w:val="20"/>
          <w:szCs w:val="20"/>
        </w:rPr>
        <w:t>urzschließen</w:t>
      </w:r>
      <w:r>
        <w:rPr>
          <w:bCs/>
          <w:sz w:val="20"/>
          <w:szCs w:val="20"/>
        </w:rPr>
        <w:t>.</w:t>
      </w:r>
    </w:p>
    <w:p w14:paraId="1F495B35" w14:textId="4E534BDF" w:rsidR="00B72A2A" w:rsidRPr="00B72A2A" w:rsidRDefault="00B72A2A" w:rsidP="00347DD1">
      <w:pPr>
        <w:pStyle w:val="Az2zu2"/>
        <w:numPr>
          <w:ilvl w:val="1"/>
          <w:numId w:val="16"/>
        </w:numPr>
        <w:ind w:left="754" w:hanging="357"/>
        <w:rPr>
          <w:bCs/>
          <w:sz w:val="20"/>
          <w:szCs w:val="20"/>
        </w:rPr>
      </w:pPr>
      <w:r w:rsidRPr="00B72A2A">
        <w:rPr>
          <w:bCs/>
          <w:sz w:val="20"/>
          <w:szCs w:val="20"/>
        </w:rPr>
        <w:t>Benachbarte spannungsführende Teile</w:t>
      </w:r>
      <w:r>
        <w:rPr>
          <w:bCs/>
          <w:sz w:val="20"/>
          <w:szCs w:val="20"/>
        </w:rPr>
        <w:t xml:space="preserve"> a</w:t>
      </w:r>
      <w:r w:rsidRPr="00B72A2A">
        <w:rPr>
          <w:bCs/>
          <w:sz w:val="20"/>
          <w:szCs w:val="20"/>
        </w:rPr>
        <w:t>bdecken</w:t>
      </w:r>
      <w:r w:rsidR="00347DD1">
        <w:rPr>
          <w:bCs/>
          <w:sz w:val="20"/>
          <w:szCs w:val="20"/>
        </w:rPr>
        <w:t>.</w:t>
      </w:r>
    </w:p>
    <w:p w14:paraId="532AAB02" w14:textId="1F3C4CCC" w:rsidR="003F2652" w:rsidRDefault="003F2652" w:rsidP="003F2652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Schaltverbotsschild mit der </w:t>
      </w:r>
      <w:r w:rsidRPr="003F2652">
        <w:rPr>
          <w:sz w:val="20"/>
          <w:szCs w:val="20"/>
        </w:rPr>
        <w:t>Angabe, we</w:t>
      </w:r>
      <w:r>
        <w:rPr>
          <w:sz w:val="20"/>
          <w:szCs w:val="20"/>
        </w:rPr>
        <w:t xml:space="preserve">r die Anlage wieder einschalten </w:t>
      </w:r>
      <w:r w:rsidRPr="003F2652">
        <w:rPr>
          <w:sz w:val="20"/>
          <w:szCs w:val="20"/>
        </w:rPr>
        <w:t>darf, vor Ort und gegeben</w:t>
      </w:r>
      <w:r>
        <w:rPr>
          <w:sz w:val="20"/>
          <w:szCs w:val="20"/>
        </w:rPr>
        <w:t>enfalls an der Hauptschalttafel an</w:t>
      </w:r>
      <w:r w:rsidRPr="003F2652">
        <w:rPr>
          <w:sz w:val="20"/>
          <w:szCs w:val="20"/>
        </w:rPr>
        <w:t>bringen</w:t>
      </w:r>
      <w:r w:rsidR="00347DD1">
        <w:rPr>
          <w:sz w:val="20"/>
          <w:szCs w:val="20"/>
        </w:rPr>
        <w:t>.</w:t>
      </w:r>
    </w:p>
    <w:p w14:paraId="519B2922" w14:textId="5EA9CBFC" w:rsidR="00EF4F19" w:rsidRDefault="00EF4F19" w:rsidP="00EF4F19">
      <w:pPr>
        <w:pStyle w:val="Az2zu2"/>
        <w:rPr>
          <w:bCs/>
          <w:sz w:val="20"/>
          <w:szCs w:val="20"/>
        </w:rPr>
      </w:pPr>
      <w:r w:rsidRPr="00EF4F19">
        <w:rPr>
          <w:bCs/>
          <w:sz w:val="20"/>
          <w:szCs w:val="20"/>
        </w:rPr>
        <w:t>Die Herstellun</w:t>
      </w:r>
      <w:r>
        <w:rPr>
          <w:bCs/>
          <w:sz w:val="20"/>
          <w:szCs w:val="20"/>
        </w:rPr>
        <w:t xml:space="preserve">g des spannungsfreien Zustandes </w:t>
      </w:r>
      <w:r w:rsidRPr="00EF4F19">
        <w:rPr>
          <w:bCs/>
          <w:sz w:val="20"/>
          <w:szCs w:val="20"/>
        </w:rPr>
        <w:t>und die n</w:t>
      </w:r>
      <w:r>
        <w:rPr>
          <w:bCs/>
          <w:sz w:val="20"/>
          <w:szCs w:val="20"/>
        </w:rPr>
        <w:t xml:space="preserve">achfolgenden elektrotechnischen </w:t>
      </w:r>
      <w:r w:rsidRPr="00EF4F19">
        <w:rPr>
          <w:bCs/>
          <w:sz w:val="20"/>
          <w:szCs w:val="20"/>
        </w:rPr>
        <w:t>Instandha</w:t>
      </w:r>
      <w:r>
        <w:rPr>
          <w:bCs/>
          <w:sz w:val="20"/>
          <w:szCs w:val="20"/>
        </w:rPr>
        <w:t xml:space="preserve">ltungsarbeiten dürfen nur durch </w:t>
      </w:r>
      <w:r w:rsidRPr="00EF4F19">
        <w:rPr>
          <w:bCs/>
          <w:sz w:val="20"/>
          <w:szCs w:val="20"/>
        </w:rPr>
        <w:t>eine Elektrofac</w:t>
      </w:r>
      <w:r>
        <w:rPr>
          <w:bCs/>
          <w:sz w:val="20"/>
          <w:szCs w:val="20"/>
        </w:rPr>
        <w:t xml:space="preserve">hkraft oder unter deren Leitung </w:t>
      </w:r>
      <w:r w:rsidRPr="00EF4F19">
        <w:rPr>
          <w:bCs/>
          <w:sz w:val="20"/>
          <w:szCs w:val="20"/>
        </w:rPr>
        <w:t>und Aufsicht ausgeführt werden.</w:t>
      </w:r>
    </w:p>
    <w:p w14:paraId="33037976" w14:textId="6353FC1E" w:rsidR="00611091" w:rsidRPr="00611091" w:rsidRDefault="00611091" w:rsidP="00BB0339">
      <w:pPr>
        <w:pStyle w:val="Az2zu2"/>
        <w:rPr>
          <w:bCs/>
          <w:sz w:val="20"/>
          <w:szCs w:val="20"/>
        </w:rPr>
      </w:pPr>
      <w:r w:rsidRPr="00611091">
        <w:rPr>
          <w:bCs/>
          <w:sz w:val="20"/>
          <w:szCs w:val="20"/>
        </w:rPr>
        <w:t>Metallische Schmuckgegenstände wie Ringe, Ketten und Armbanduhren sollten vor der Arbeit abgelegt werden. Sie stellen einen niedrigen Kontaktwiderstand mit der Haut her. Metallische Teile an Kleidung und Schuhwerk</w:t>
      </w:r>
      <w:r>
        <w:rPr>
          <w:bCs/>
          <w:sz w:val="20"/>
          <w:szCs w:val="20"/>
        </w:rPr>
        <w:t xml:space="preserve"> </w:t>
      </w:r>
      <w:r w:rsidRPr="00611091">
        <w:rPr>
          <w:bCs/>
          <w:sz w:val="20"/>
          <w:szCs w:val="20"/>
        </w:rPr>
        <w:t>sind ebenso gefährlich.</w:t>
      </w:r>
    </w:p>
    <w:p w14:paraId="1F9A88E0" w14:textId="79534DFA" w:rsidR="00824C44" w:rsidRDefault="008C4E69" w:rsidP="003F2652">
      <w:pPr>
        <w:pStyle w:val="Az2zu2"/>
        <w:rPr>
          <w:sz w:val="20"/>
          <w:szCs w:val="20"/>
        </w:rPr>
      </w:pPr>
      <w:r w:rsidRPr="003F2652">
        <w:rPr>
          <w:sz w:val="20"/>
          <w:szCs w:val="20"/>
        </w:rPr>
        <w:t xml:space="preserve">Bei Elektrounfällen gilt stets: Helfer müssen unbedingt auf Selbstschutz achten, um nicht selbst einen Unfall mit elektrischem Strom zu erleiden! Die </w:t>
      </w:r>
      <w:r w:rsidR="000617AE" w:rsidRPr="003F2652">
        <w:rPr>
          <w:sz w:val="20"/>
          <w:szCs w:val="20"/>
        </w:rPr>
        <w:t>eigene</w:t>
      </w:r>
      <w:r w:rsidRPr="003F2652">
        <w:rPr>
          <w:sz w:val="20"/>
          <w:szCs w:val="20"/>
        </w:rPr>
        <w:t xml:space="preserve"> Sicherheit geht vor!</w:t>
      </w:r>
    </w:p>
    <w:p w14:paraId="0BE366BC" w14:textId="1383A01A" w:rsidR="003169C6" w:rsidRDefault="003169C6" w:rsidP="003F2652">
      <w:pPr>
        <w:pStyle w:val="Az2zu2"/>
        <w:rPr>
          <w:sz w:val="20"/>
          <w:szCs w:val="20"/>
        </w:rPr>
      </w:pPr>
      <w:r>
        <w:rPr>
          <w:sz w:val="20"/>
          <w:szCs w:val="20"/>
        </w:rPr>
        <w:t>Sofortmaßnahmen bei Unfällen mit elektrischem Strom:</w:t>
      </w:r>
    </w:p>
    <w:p w14:paraId="3BA1B6F9" w14:textId="645C7F04" w:rsidR="003169C6" w:rsidRDefault="003169C6" w:rsidP="00347DD1">
      <w:pPr>
        <w:pStyle w:val="Az2zu2"/>
        <w:numPr>
          <w:ilvl w:val="1"/>
          <w:numId w:val="13"/>
        </w:numPr>
        <w:ind w:left="754" w:hanging="357"/>
        <w:rPr>
          <w:sz w:val="20"/>
          <w:szCs w:val="20"/>
        </w:rPr>
      </w:pPr>
      <w:r>
        <w:rPr>
          <w:sz w:val="20"/>
          <w:szCs w:val="20"/>
        </w:rPr>
        <w:t>Stromkreis unterbrechen!</w:t>
      </w:r>
    </w:p>
    <w:p w14:paraId="4B81A0C8" w14:textId="395C8F55" w:rsidR="003169C6" w:rsidRDefault="003169C6" w:rsidP="00347DD1">
      <w:pPr>
        <w:pStyle w:val="Az2zu2"/>
        <w:numPr>
          <w:ilvl w:val="1"/>
          <w:numId w:val="13"/>
        </w:numPr>
        <w:ind w:left="754" w:hanging="357"/>
        <w:rPr>
          <w:sz w:val="20"/>
          <w:szCs w:val="20"/>
        </w:rPr>
      </w:pPr>
      <w:r>
        <w:rPr>
          <w:sz w:val="20"/>
          <w:szCs w:val="20"/>
        </w:rPr>
        <w:t>Brücke informieren</w:t>
      </w:r>
      <w:r w:rsidR="00347DD1">
        <w:rPr>
          <w:sz w:val="20"/>
          <w:szCs w:val="20"/>
        </w:rPr>
        <w:t>.</w:t>
      </w:r>
    </w:p>
    <w:p w14:paraId="6E01AD7B" w14:textId="399D1650" w:rsidR="003169C6" w:rsidRDefault="003169C6" w:rsidP="00347DD1">
      <w:pPr>
        <w:pStyle w:val="Az2zu2"/>
        <w:numPr>
          <w:ilvl w:val="1"/>
          <w:numId w:val="13"/>
        </w:numPr>
        <w:ind w:left="754" w:hanging="357"/>
        <w:rPr>
          <w:sz w:val="20"/>
          <w:szCs w:val="20"/>
        </w:rPr>
      </w:pPr>
      <w:r>
        <w:rPr>
          <w:sz w:val="20"/>
          <w:szCs w:val="20"/>
        </w:rPr>
        <w:t>Versorgung des Betroffenen je nach Zustand (Erste Hilfe Maßnahmen)</w:t>
      </w:r>
      <w:r w:rsidR="00347DD1">
        <w:rPr>
          <w:sz w:val="20"/>
          <w:szCs w:val="20"/>
        </w:rPr>
        <w:t>.</w:t>
      </w:r>
    </w:p>
    <w:p w14:paraId="0AEE6C80" w14:textId="665BE872" w:rsidR="003169C6" w:rsidRPr="003F2652" w:rsidRDefault="003169C6" w:rsidP="00347DD1">
      <w:pPr>
        <w:pStyle w:val="Az2zu2"/>
        <w:numPr>
          <w:ilvl w:val="1"/>
          <w:numId w:val="13"/>
        </w:numPr>
        <w:ind w:left="754" w:hanging="357"/>
        <w:rPr>
          <w:sz w:val="20"/>
          <w:szCs w:val="20"/>
        </w:rPr>
      </w:pPr>
      <w:r>
        <w:rPr>
          <w:sz w:val="20"/>
          <w:szCs w:val="20"/>
        </w:rPr>
        <w:t>Unbedingt funkärztliche Beratung einholen!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347DD1" w:rsidRPr="00D07ACF" w14:paraId="5CBCE3E4" w14:textId="77777777" w:rsidTr="00D07ACF">
        <w:tc>
          <w:tcPr>
            <w:tcW w:w="1751" w:type="dxa"/>
            <w:shd w:val="clear" w:color="auto" w:fill="auto"/>
          </w:tcPr>
          <w:p w14:paraId="206FA3CA" w14:textId="77777777" w:rsidR="00347DD1" w:rsidRPr="00D07ACF" w:rsidRDefault="00347DD1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5EB3E2B" w14:textId="77777777" w:rsidR="00347DD1" w:rsidRPr="00D07ACF" w:rsidRDefault="00347DD1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347DD1" w:rsidRPr="00D07ACF" w14:paraId="3F7AA76F" w14:textId="77777777" w:rsidTr="00D07ACF">
        <w:tc>
          <w:tcPr>
            <w:tcW w:w="1751" w:type="dxa"/>
            <w:shd w:val="clear" w:color="auto" w:fill="auto"/>
          </w:tcPr>
          <w:p w14:paraId="2F4B3815" w14:textId="77777777" w:rsidR="00347DD1" w:rsidRPr="00D07ACF" w:rsidRDefault="00347DD1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3B34568" w14:textId="77777777" w:rsidR="00347DD1" w:rsidRPr="00D07ACF" w:rsidRDefault="00347DD1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lastRenderedPageBreak/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32103" w14:textId="77777777" w:rsidR="007B23FA" w:rsidRDefault="007B23FA" w:rsidP="00A23973">
      <w:pPr>
        <w:spacing w:after="0" w:line="240" w:lineRule="auto"/>
      </w:pPr>
      <w:r>
        <w:separator/>
      </w:r>
    </w:p>
  </w:endnote>
  <w:endnote w:type="continuationSeparator" w:id="0">
    <w:p w14:paraId="45E665EC" w14:textId="77777777" w:rsidR="007B23FA" w:rsidRDefault="007B23FA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4C9E0CE5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47DD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47DD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373E70C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47DD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47DD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4A415" w14:textId="77777777" w:rsidR="007B23FA" w:rsidRDefault="007B23FA" w:rsidP="00A23973">
      <w:pPr>
        <w:spacing w:after="0" w:line="240" w:lineRule="auto"/>
      </w:pPr>
      <w:r>
        <w:separator/>
      </w:r>
    </w:p>
  </w:footnote>
  <w:footnote w:type="continuationSeparator" w:id="0">
    <w:p w14:paraId="725DA130" w14:textId="77777777" w:rsidR="007B23FA" w:rsidRDefault="007B23FA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732"/>
    <w:multiLevelType w:val="hybridMultilevel"/>
    <w:tmpl w:val="9D8ED6C4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403C"/>
    <w:rsid w:val="00006641"/>
    <w:rsid w:val="00037DD1"/>
    <w:rsid w:val="000543DA"/>
    <w:rsid w:val="0005606B"/>
    <w:rsid w:val="000617AE"/>
    <w:rsid w:val="000D241D"/>
    <w:rsid w:val="00182A03"/>
    <w:rsid w:val="001D56D1"/>
    <w:rsid w:val="001F127B"/>
    <w:rsid w:val="001F5BAD"/>
    <w:rsid w:val="00217770"/>
    <w:rsid w:val="002718B9"/>
    <w:rsid w:val="002C0FC9"/>
    <w:rsid w:val="002C369F"/>
    <w:rsid w:val="002F74C3"/>
    <w:rsid w:val="003169C6"/>
    <w:rsid w:val="00347DD1"/>
    <w:rsid w:val="00351C48"/>
    <w:rsid w:val="0036412E"/>
    <w:rsid w:val="00364DB0"/>
    <w:rsid w:val="003F2652"/>
    <w:rsid w:val="0051177D"/>
    <w:rsid w:val="00611091"/>
    <w:rsid w:val="00633DB1"/>
    <w:rsid w:val="006E70C7"/>
    <w:rsid w:val="007226E0"/>
    <w:rsid w:val="007265A2"/>
    <w:rsid w:val="00753486"/>
    <w:rsid w:val="007B23FA"/>
    <w:rsid w:val="00824C44"/>
    <w:rsid w:val="0085077D"/>
    <w:rsid w:val="00892BB9"/>
    <w:rsid w:val="008B04C9"/>
    <w:rsid w:val="008C4E69"/>
    <w:rsid w:val="00A10059"/>
    <w:rsid w:val="00A215B2"/>
    <w:rsid w:val="00A23973"/>
    <w:rsid w:val="00A60471"/>
    <w:rsid w:val="00A77C60"/>
    <w:rsid w:val="00AC4301"/>
    <w:rsid w:val="00AD7022"/>
    <w:rsid w:val="00B72477"/>
    <w:rsid w:val="00B72A2A"/>
    <w:rsid w:val="00C363E8"/>
    <w:rsid w:val="00C45B76"/>
    <w:rsid w:val="00CD090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9234F"/>
    <w:rsid w:val="00EE6F11"/>
    <w:rsid w:val="00EF4F19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  <w:style w:type="paragraph" w:styleId="berarbeitung">
    <w:name w:val="Revision"/>
    <w:hidden/>
    <w:uiPriority w:val="99"/>
    <w:semiHidden/>
    <w:rsid w:val="0000403C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d/bgverkehr_hbsee_d-Documents/hbsee_d03/hbsee_d03.pdf&amp;alias=bgverkehr_hbsee_d_hbseed03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Instandhaltung elektrischer Systeme</vt:lpstr>
    </vt:vector>
  </TitlesOfParts>
  <Company>BG Verkehr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Instandhaltung elektrischer Systeme</dc:title>
  <dc:subject/>
  <dc:creator>BG Verkehr</dc:creator>
  <cp:keywords/>
  <dc:description/>
  <cp:lastModifiedBy>Hoffmann, Ulrike</cp:lastModifiedBy>
  <cp:revision>2</cp:revision>
  <dcterms:created xsi:type="dcterms:W3CDTF">2022-12-05T14:21:00Z</dcterms:created>
  <dcterms:modified xsi:type="dcterms:W3CDTF">2022-12-05T14:21:00Z</dcterms:modified>
</cp:coreProperties>
</file>