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27D" w14:textId="77777777" w:rsidR="00411C80" w:rsidRDefault="00EE0D83" w:rsidP="00411C80">
      <w:pPr>
        <w:pStyle w:val="berschrift1"/>
        <w:numPr>
          <w:ilvl w:val="0"/>
          <w:numId w:val="0"/>
        </w:numPr>
        <w:ind w:left="454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E22176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8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371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Branche / Arbeitsbereich / Tätigkeit / Unternehmen / Schiff / Stand"/>
      </w:tblPr>
      <w:tblGrid>
        <w:gridCol w:w="1751"/>
        <w:gridCol w:w="5620"/>
      </w:tblGrid>
      <w:tr w:rsidR="00EE0D83" w14:paraId="31AA5EC0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620" w:type="dxa"/>
            <w:shd w:val="clear" w:color="auto" w:fill="auto"/>
          </w:tcPr>
          <w:p w14:paraId="72B1FFA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620" w:type="dxa"/>
            <w:shd w:val="clear" w:color="auto" w:fill="auto"/>
          </w:tcPr>
          <w:p w14:paraId="0C8D9FF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EE0D83" w14:paraId="4E73E6CA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620" w:type="dxa"/>
            <w:shd w:val="clear" w:color="auto" w:fill="auto"/>
          </w:tcPr>
          <w:p w14:paraId="18FA1E95" w14:textId="0DBF1456" w:rsidR="00EE0D83" w:rsidRPr="00D07ACF" w:rsidRDefault="00907DA0" w:rsidP="003C0CE6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in </w:t>
            </w:r>
            <w:r w:rsidR="003C0CE6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Proviantk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ühlräumen</w:t>
            </w:r>
          </w:p>
        </w:tc>
      </w:tr>
      <w:tr w:rsidR="00EE0D83" w:rsidRPr="00D07ACF" w14:paraId="1D23719D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620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620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1C100A"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620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521"/>
      </w:tblGrid>
      <w:tr w:rsidR="00355413" w14:paraId="0AD4DC36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38DDE92A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07DA0" w14:paraId="3D8B139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3B7BF472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9F275C5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7BD024AD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Verletzen insbesondere Quetschen der Hände durch Proviantbehältnisse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DE80FE1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14:paraId="6CE191F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47164E44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596B96C7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7EFE71" w14:textId="77777777" w:rsidR="00907DA0" w:rsidRPr="005E6CE7" w:rsidRDefault="00907DA0" w:rsidP="00907DA0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CE7">
              <w:rPr>
                <w:rFonts w:asciiTheme="minorHAnsi" w:hAnsiTheme="minorHAnsi" w:cstheme="minorHAnsi"/>
                <w:sz w:val="20"/>
                <w:szCs w:val="20"/>
              </w:rPr>
              <w:t>Stechen an Splittern von Holzkisten oder Metallklammern</w:t>
            </w:r>
          </w:p>
          <w:p w14:paraId="1FB38EF1" w14:textId="6BF42A16" w:rsidR="00907DA0" w:rsidRPr="00937647" w:rsidRDefault="00907DA0" w:rsidP="00907DA0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5E6CE7">
              <w:rPr>
                <w:rFonts w:asciiTheme="minorHAnsi" w:hAnsiTheme="minorHAnsi" w:cstheme="minorHAnsi"/>
                <w:sz w:val="20"/>
                <w:szCs w:val="20"/>
              </w:rPr>
              <w:t>Schneiden an Packbändern, Kanten oder Verpackungen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3566B84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14:paraId="68EEB5D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7769FFAC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7C430C18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14:paraId="33C3DF5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393A700D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11E966E9" w:rsidR="00907DA0" w:rsidRPr="00937647" w:rsidRDefault="00907DA0" w:rsidP="00907DA0">
            <w:pPr>
              <w:keepLines/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09101F8A" w:rsidR="00907DA0" w:rsidRPr="00937647" w:rsidRDefault="00907DA0" w:rsidP="00907DA0">
            <w:pPr>
              <w:pStyle w:val="Az2zu2"/>
              <w:keepLines/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Getroffen werden von Gefriergut oder Proviantkisten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F7DCEA0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2, 3, 4,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14:paraId="297959E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253845AC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702C2F6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7B3256F0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Stolpern und stürzen auf schmierigen, nassen oder vereisten Böden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D0940DE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1, 5, 6,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:rsidRPr="00DE5450" w14:paraId="33064CFA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643C4E8E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73AB9302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  <w:tr w:rsidR="00907DA0" w:rsidRPr="00DE5450" w14:paraId="09A1CFE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0E96B0BC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0E43D1C5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07DA0" w:rsidRPr="00937647" w:rsidRDefault="00907DA0" w:rsidP="00907DA0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1C1CE33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73D34E6B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6813EBC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0D882832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3646538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5527991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55BFF0" w14:textId="77777777" w:rsidR="00907DA0" w:rsidRPr="009726F2" w:rsidRDefault="00907DA0" w:rsidP="009726F2">
            <w:pPr>
              <w:pStyle w:val="Az2zu2"/>
              <w:keepLines/>
              <w:ind w:left="357" w:hanging="357"/>
              <w:rPr>
                <w:sz w:val="20"/>
                <w:szCs w:val="20"/>
              </w:rPr>
            </w:pPr>
            <w:r w:rsidRPr="009726F2">
              <w:rPr>
                <w:sz w:val="20"/>
                <w:szCs w:val="20"/>
              </w:rPr>
              <w:t>Einatmen von Desinfektionsmittelaerosol bei Verwendung des Sprühverfahrens</w:t>
            </w:r>
          </w:p>
          <w:p w14:paraId="1D1FD927" w14:textId="44B12471" w:rsidR="00907DA0" w:rsidRPr="00937647" w:rsidRDefault="00907DA0" w:rsidP="009726F2">
            <w:pPr>
              <w:pStyle w:val="Az2zu2"/>
              <w:keepLines/>
              <w:ind w:left="357" w:hanging="357"/>
              <w:rPr>
                <w:rFonts w:eastAsia="Times New Roman"/>
                <w:sz w:val="20"/>
                <w:szCs w:val="20"/>
              </w:rPr>
            </w:pPr>
            <w:r w:rsidRPr="009726F2">
              <w:rPr>
                <w:sz w:val="20"/>
                <w:szCs w:val="20"/>
              </w:rPr>
              <w:t>Einatmen von CO2 (Trockeneis)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5ACFDD1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260C8D9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6849E6F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514B1AF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Hautkontakt mit Desinfektionsmitteln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956AEE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4923F56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143D2042" w:rsidR="00907DA0" w:rsidRPr="00937647" w:rsidRDefault="00907DA0" w:rsidP="00907DA0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33DC31F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Erhöhte Brandgefahr durch sauerstoffhaltige Desinfektionsmittel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2175F89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367DBB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0851150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653CC6F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7D96F66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Kontakt mit Bakterien oder Schimmelpilzen in Frischproviant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27AD1CE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273BF11F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65298B4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1FD29A" w14:textId="77777777" w:rsidR="00907DA0" w:rsidRPr="009726F2" w:rsidRDefault="00907DA0" w:rsidP="009726F2">
            <w:pPr>
              <w:pStyle w:val="Az2zu2"/>
              <w:keepLines/>
              <w:ind w:left="357" w:hanging="357"/>
              <w:rPr>
                <w:sz w:val="20"/>
                <w:szCs w:val="20"/>
              </w:rPr>
            </w:pPr>
            <w:r w:rsidRPr="009726F2">
              <w:rPr>
                <w:sz w:val="20"/>
                <w:szCs w:val="20"/>
              </w:rPr>
              <w:t>Erfrierungen an den Händen durch Kontakt mit kalten metallenen Oberflächen oder Tiefkühlgut in Tiefkühlräumen</w:t>
            </w:r>
          </w:p>
          <w:p w14:paraId="631DA5E8" w14:textId="48DF614B" w:rsidR="00907DA0" w:rsidRPr="00937647" w:rsidRDefault="00907DA0" w:rsidP="009726F2">
            <w:pPr>
              <w:pStyle w:val="Az2zu2"/>
              <w:keepLines/>
              <w:ind w:left="357" w:hanging="357"/>
              <w:rPr>
                <w:rFonts w:eastAsia="Times New Roman"/>
                <w:sz w:val="20"/>
                <w:szCs w:val="20"/>
              </w:rPr>
            </w:pPr>
            <w:r w:rsidRPr="009726F2">
              <w:rPr>
                <w:sz w:val="20"/>
                <w:szCs w:val="20"/>
              </w:rPr>
              <w:t>Hautkontakt mit Trockeneis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CA4641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6067323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4EBD6CF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0175447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5C15768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7270A8C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44C902E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7A39FD1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48CE5C8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6251779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4407A78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7CEC9D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7DAD0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4F8D516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47639A2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088FDD1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028C5E5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140EAFD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391CF19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6196643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1E896193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669B10A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7513268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7ABAC1A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Unterkühlung beim Aufenthalt in Kühl- oder Tiefkühlräumen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69A3A94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1, 12</w:t>
            </w:r>
            <w:r w:rsidRPr="005E6CE7">
              <w:rPr>
                <w:rFonts w:eastAsia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5A9784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4904948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68A5163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Ausfall der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2DE497C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13</w:t>
            </w:r>
            <w:r w:rsidRPr="005E6CE7">
              <w:rPr>
                <w:rFonts w:eastAsia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4703F30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049D49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B6D919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Sauerstoffmangel in Frischprovianträumen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0576A3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1E20B82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E6AD43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5C2E8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Gefahr von eingeschlossen werden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5272B8B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15, 16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1998934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634A1C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2D30494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Unzureichende Bewegungsflächen durch schlecht gestauten oder gesicherten Proviant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3077E29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17, 18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41252ED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3BB5A80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6432C0C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03ACE9D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0532EBE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1BD8E3D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Manuelles Heben und Tragen von Proviantkartons/Kisten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011D89F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2AB082C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24119C5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CB655A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1FBAE87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7A5B19B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10A6D11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05F9600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E8B011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43D5A0AC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126438F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306847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63170C9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0B6F99D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39DC9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20592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2A1D476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6699C54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Ungenügend gestaltete Arbeitsplatz- und Ar</w:t>
            </w:r>
            <w:r w:rsidRPr="005E6CE7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01DDB2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7064B12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D223B9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0E17FDB0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087AFF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Gestochen bzw. gebissen werden durch Insekten oder andere Tiere im Frischproviant / in Proviantbehältnissen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71A35A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20</w:t>
            </w:r>
            <w:r w:rsidRPr="005E6CE7">
              <w:rPr>
                <w:rFonts w:eastAsia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Pflanzen und pflanzliche Produkte (z.B.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0709252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57ED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57ED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B02D" w14:textId="77777777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A33E0EA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</w:t>
    </w:r>
    <w:r w:rsidR="00E22176" w:rsidRPr="00EB22DF">
      <w:rPr>
        <w:sz w:val="18"/>
        <w:szCs w:val="18"/>
      </w:rPr>
      <w:t>2022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57ED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57ED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5"/>
  </w:num>
  <w:num w:numId="15">
    <w:abstractNumId w:val="7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83"/>
    <w:rsid w:val="00037DD1"/>
    <w:rsid w:val="00047C3B"/>
    <w:rsid w:val="000543DA"/>
    <w:rsid w:val="0005606B"/>
    <w:rsid w:val="00182A03"/>
    <w:rsid w:val="001B3054"/>
    <w:rsid w:val="001C100A"/>
    <w:rsid w:val="00217770"/>
    <w:rsid w:val="00256AED"/>
    <w:rsid w:val="002718B9"/>
    <w:rsid w:val="00293E8C"/>
    <w:rsid w:val="002F74C3"/>
    <w:rsid w:val="00355413"/>
    <w:rsid w:val="0036412E"/>
    <w:rsid w:val="003C0CE6"/>
    <w:rsid w:val="00411C80"/>
    <w:rsid w:val="0051177D"/>
    <w:rsid w:val="006028C1"/>
    <w:rsid w:val="00633DB1"/>
    <w:rsid w:val="00636CF7"/>
    <w:rsid w:val="006D4DDE"/>
    <w:rsid w:val="006E70C7"/>
    <w:rsid w:val="00722587"/>
    <w:rsid w:val="007265A2"/>
    <w:rsid w:val="00907DA0"/>
    <w:rsid w:val="00937647"/>
    <w:rsid w:val="009726F2"/>
    <w:rsid w:val="009A1DB3"/>
    <w:rsid w:val="009B7748"/>
    <w:rsid w:val="00A57ED3"/>
    <w:rsid w:val="00B72477"/>
    <w:rsid w:val="00B75247"/>
    <w:rsid w:val="00CE262D"/>
    <w:rsid w:val="00D223B9"/>
    <w:rsid w:val="00D40155"/>
    <w:rsid w:val="00D77231"/>
    <w:rsid w:val="00DB13D7"/>
    <w:rsid w:val="00DB37C1"/>
    <w:rsid w:val="00DD6C48"/>
    <w:rsid w:val="00E22176"/>
    <w:rsid w:val="00EB22DF"/>
    <w:rsid w:val="00EE0D83"/>
    <w:rsid w:val="00F06AAE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927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Verkehr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</dc:title>
  <dc:subject/>
  <dc:creator>Hoffmann, Ulrike</dc:creator>
  <cp:keywords/>
  <dc:description/>
  <cp:lastModifiedBy>Ralph Munder</cp:lastModifiedBy>
  <cp:revision>6</cp:revision>
  <dcterms:created xsi:type="dcterms:W3CDTF">2022-03-22T10:16:00Z</dcterms:created>
  <dcterms:modified xsi:type="dcterms:W3CDTF">2022-03-24T13:35:00Z</dcterms:modified>
</cp:coreProperties>
</file>